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2152AC" w:rsidRPr="002152AC" w14:paraId="2A131A54" w14:textId="77777777" w:rsidTr="00FA7F77">
        <w:trPr>
          <w:trHeight w:val="852"/>
          <w:jc w:val="center"/>
        </w:trPr>
        <w:tc>
          <w:tcPr>
            <w:tcW w:w="6940" w:type="dxa"/>
            <w:vMerge w:val="restart"/>
            <w:tcBorders>
              <w:right w:val="single" w:sz="4" w:space="0" w:color="auto"/>
            </w:tcBorders>
          </w:tcPr>
          <w:p w14:paraId="38C3D2BA" w14:textId="45FCE055" w:rsidR="000A03B2" w:rsidRPr="002152AC" w:rsidRDefault="000A03B2" w:rsidP="00DE264A">
            <w:pPr>
              <w:tabs>
                <w:tab w:val="left" w:pos="-108"/>
              </w:tabs>
              <w:ind w:left="-108"/>
              <w:jc w:val="left"/>
              <w:rPr>
                <w:rFonts w:cs="Arial"/>
                <w:b/>
                <w:bCs/>
                <w:i/>
                <w:iCs/>
                <w:sz w:val="12"/>
                <w:szCs w:val="12"/>
                <w:lang w:eastAsia="it-IT"/>
              </w:rPr>
            </w:pPr>
            <w:r w:rsidRPr="002152AC">
              <w:rPr>
                <w:rFonts w:ascii="AdvP6960" w:hAnsi="AdvP6960" w:cs="AdvP6960"/>
                <w:noProof/>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152AC">
              <w:rPr>
                <w:rFonts w:ascii="AdvP6960" w:hAnsi="AdvP6960" w:cs="AdvP6960"/>
                <w:szCs w:val="18"/>
                <w:lang w:eastAsia="it-IT"/>
              </w:rPr>
              <w:t xml:space="preserve"> </w:t>
            </w:r>
            <w:r w:rsidRPr="002152AC">
              <w:rPr>
                <w:rFonts w:cs="Arial"/>
                <w:b/>
                <w:bCs/>
                <w:i/>
                <w:iCs/>
                <w:sz w:val="24"/>
                <w:szCs w:val="24"/>
                <w:lang w:eastAsia="it-IT"/>
              </w:rPr>
              <w:t>CHEMICAL ENGINEERING TRANSACTIONS</w:t>
            </w:r>
            <w:r w:rsidRPr="002152AC">
              <w:rPr>
                <w:sz w:val="24"/>
                <w:szCs w:val="24"/>
                <w:lang w:eastAsia="it-IT"/>
              </w:rPr>
              <w:t xml:space="preserve"> </w:t>
            </w:r>
            <w:r w:rsidRPr="002152AC">
              <w:rPr>
                <w:rFonts w:cs="Arial"/>
                <w:b/>
                <w:bCs/>
                <w:i/>
                <w:iCs/>
                <w:sz w:val="27"/>
                <w:szCs w:val="27"/>
                <w:lang w:eastAsia="it-IT"/>
              </w:rPr>
              <w:br/>
            </w:r>
          </w:p>
          <w:p w14:paraId="4B780582" w14:textId="25570670" w:rsidR="000A03B2" w:rsidRPr="002152AC" w:rsidRDefault="00A76EFC" w:rsidP="001D21AF">
            <w:pPr>
              <w:tabs>
                <w:tab w:val="left" w:pos="-108"/>
              </w:tabs>
              <w:ind w:left="-108"/>
              <w:rPr>
                <w:rFonts w:cs="Arial"/>
                <w:b/>
                <w:bCs/>
                <w:i/>
                <w:iCs/>
                <w:sz w:val="22"/>
                <w:szCs w:val="22"/>
                <w:lang w:eastAsia="it-IT"/>
              </w:rPr>
            </w:pPr>
            <w:r w:rsidRPr="002152AC">
              <w:rPr>
                <w:rFonts w:cs="Arial"/>
                <w:b/>
                <w:bCs/>
                <w:i/>
                <w:iCs/>
                <w:sz w:val="22"/>
                <w:szCs w:val="22"/>
                <w:lang w:eastAsia="it-IT"/>
              </w:rPr>
              <w:t xml:space="preserve">VOL. </w:t>
            </w:r>
            <w:r w:rsidR="00D46B7E" w:rsidRPr="002152AC">
              <w:rPr>
                <w:rFonts w:cs="Arial"/>
                <w:b/>
                <w:bCs/>
                <w:i/>
                <w:iCs/>
                <w:sz w:val="22"/>
                <w:szCs w:val="22"/>
                <w:lang w:eastAsia="it-IT"/>
              </w:rPr>
              <w:t>9</w:t>
            </w:r>
            <w:r w:rsidR="00323C5F" w:rsidRPr="002152AC">
              <w:rPr>
                <w:rFonts w:cs="Arial"/>
                <w:b/>
                <w:bCs/>
                <w:i/>
                <w:iCs/>
                <w:sz w:val="22"/>
                <w:szCs w:val="22"/>
                <w:lang w:eastAsia="it-IT"/>
              </w:rPr>
              <w:t>5</w:t>
            </w:r>
            <w:r w:rsidR="007B48F9" w:rsidRPr="002152AC">
              <w:rPr>
                <w:rFonts w:cs="Arial"/>
                <w:b/>
                <w:bCs/>
                <w:i/>
                <w:iCs/>
                <w:sz w:val="22"/>
                <w:szCs w:val="22"/>
                <w:lang w:eastAsia="it-IT"/>
              </w:rPr>
              <w:t>,</w:t>
            </w:r>
            <w:r w:rsidR="00FA5F5F" w:rsidRPr="002152AC">
              <w:rPr>
                <w:rFonts w:cs="Arial"/>
                <w:b/>
                <w:bCs/>
                <w:i/>
                <w:iCs/>
                <w:sz w:val="22"/>
                <w:szCs w:val="22"/>
                <w:lang w:eastAsia="it-IT"/>
              </w:rPr>
              <w:t xml:space="preserve"> 20</w:t>
            </w:r>
            <w:r w:rsidR="00DF5072" w:rsidRPr="002152AC">
              <w:rPr>
                <w:rFonts w:cs="Arial"/>
                <w:b/>
                <w:bCs/>
                <w:i/>
                <w:iCs/>
                <w:sz w:val="22"/>
                <w:szCs w:val="22"/>
                <w:lang w:eastAsia="it-IT"/>
              </w:rPr>
              <w:t>2</w:t>
            </w:r>
            <w:r w:rsidR="007B48F9" w:rsidRPr="002152AC">
              <w:rPr>
                <w:rFonts w:cs="Arial"/>
                <w:b/>
                <w:bCs/>
                <w:i/>
                <w:iCs/>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2152AC" w:rsidRDefault="000A03B2" w:rsidP="00CD5FE2">
            <w:pPr>
              <w:spacing w:line="140" w:lineRule="atLeast"/>
              <w:jc w:val="right"/>
              <w:rPr>
                <w:rFonts w:cs="Arial"/>
                <w:sz w:val="14"/>
                <w:szCs w:val="14"/>
              </w:rPr>
            </w:pPr>
            <w:r w:rsidRPr="002152AC">
              <w:rPr>
                <w:rFonts w:cs="Arial"/>
                <w:sz w:val="14"/>
                <w:szCs w:val="14"/>
              </w:rPr>
              <w:t>A publication of</w:t>
            </w:r>
          </w:p>
          <w:p w14:paraId="599E5441" w14:textId="77777777" w:rsidR="000A03B2" w:rsidRPr="002152AC" w:rsidRDefault="000A03B2" w:rsidP="00CD5FE2">
            <w:pPr>
              <w:jc w:val="right"/>
            </w:pPr>
            <w:r w:rsidRPr="002152AC">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2152AC" w:rsidRPr="002152AC" w14:paraId="380FA3CD" w14:textId="77777777" w:rsidTr="00FA7F77">
        <w:trPr>
          <w:trHeight w:val="567"/>
          <w:jc w:val="center"/>
        </w:trPr>
        <w:tc>
          <w:tcPr>
            <w:tcW w:w="6940" w:type="dxa"/>
            <w:vMerge/>
            <w:tcBorders>
              <w:right w:val="single" w:sz="4" w:space="0" w:color="auto"/>
            </w:tcBorders>
          </w:tcPr>
          <w:p w14:paraId="39E5E4C1" w14:textId="77777777" w:rsidR="000A03B2" w:rsidRPr="002152AC"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2152AC" w:rsidRDefault="000A03B2" w:rsidP="00CD5FE2">
            <w:pPr>
              <w:spacing w:line="140" w:lineRule="atLeast"/>
              <w:jc w:val="right"/>
              <w:rPr>
                <w:rFonts w:cs="Arial"/>
                <w:sz w:val="14"/>
                <w:szCs w:val="14"/>
              </w:rPr>
            </w:pPr>
            <w:r w:rsidRPr="002152AC">
              <w:rPr>
                <w:rFonts w:cs="Arial"/>
                <w:sz w:val="14"/>
                <w:szCs w:val="14"/>
              </w:rPr>
              <w:t>The Italian Association</w:t>
            </w:r>
          </w:p>
          <w:p w14:paraId="7522B1D2" w14:textId="77777777" w:rsidR="000A03B2" w:rsidRPr="002152AC" w:rsidRDefault="000A03B2" w:rsidP="00CD5FE2">
            <w:pPr>
              <w:spacing w:line="140" w:lineRule="atLeast"/>
              <w:jc w:val="right"/>
              <w:rPr>
                <w:rFonts w:cs="Arial"/>
                <w:sz w:val="14"/>
                <w:szCs w:val="14"/>
              </w:rPr>
            </w:pPr>
            <w:r w:rsidRPr="002152AC">
              <w:rPr>
                <w:rFonts w:cs="Arial"/>
                <w:sz w:val="14"/>
                <w:szCs w:val="14"/>
              </w:rPr>
              <w:t>of Chemical Engineering</w:t>
            </w:r>
          </w:p>
          <w:p w14:paraId="4F0CC5DE" w14:textId="47FDB2FC" w:rsidR="000A03B2" w:rsidRPr="002152AC" w:rsidRDefault="000D0268" w:rsidP="00CD5FE2">
            <w:pPr>
              <w:spacing w:line="140" w:lineRule="atLeast"/>
              <w:jc w:val="right"/>
              <w:rPr>
                <w:rFonts w:cs="Arial"/>
                <w:sz w:val="13"/>
                <w:szCs w:val="13"/>
              </w:rPr>
            </w:pPr>
            <w:r w:rsidRPr="002152AC">
              <w:rPr>
                <w:rFonts w:cs="Arial"/>
                <w:sz w:val="13"/>
                <w:szCs w:val="13"/>
              </w:rPr>
              <w:t>Online at www.cetjournal.it</w:t>
            </w:r>
          </w:p>
        </w:tc>
      </w:tr>
      <w:tr w:rsidR="002152AC" w:rsidRPr="002152AC" w14:paraId="2D1B7169" w14:textId="77777777" w:rsidTr="00FA7F77">
        <w:trPr>
          <w:trHeight w:val="68"/>
          <w:jc w:val="center"/>
        </w:trPr>
        <w:tc>
          <w:tcPr>
            <w:tcW w:w="8782" w:type="dxa"/>
            <w:gridSpan w:val="2"/>
          </w:tcPr>
          <w:p w14:paraId="4B0BB442" w14:textId="1EC8AE73" w:rsidR="00300E56" w:rsidRPr="002152AC" w:rsidRDefault="00300E56" w:rsidP="00B57E6F">
            <w:pPr>
              <w:ind w:left="-107"/>
              <w:outlineLvl w:val="2"/>
              <w:rPr>
                <w:rFonts w:ascii="Tahoma" w:hAnsi="Tahoma" w:cs="Tahoma"/>
                <w:bCs/>
                <w:sz w:val="14"/>
                <w:szCs w:val="14"/>
                <w:lang w:val="it-IT" w:eastAsia="it-IT"/>
              </w:rPr>
            </w:pPr>
            <w:r w:rsidRPr="002152AC">
              <w:rPr>
                <w:rFonts w:ascii="Tahoma" w:hAnsi="Tahoma" w:cs="Tahoma"/>
                <w:iCs/>
                <w:sz w:val="14"/>
                <w:szCs w:val="14"/>
                <w:lang w:val="it-IT" w:eastAsia="it-IT"/>
              </w:rPr>
              <w:t>Guest Editors:</w:t>
            </w:r>
            <w:r w:rsidR="001D21AF" w:rsidRPr="002152AC">
              <w:rPr>
                <w:rFonts w:ascii="Tahoma" w:hAnsi="Tahoma" w:cs="Tahoma"/>
                <w:sz w:val="14"/>
                <w:szCs w:val="14"/>
                <w:shd w:val="clear" w:color="auto" w:fill="FFFFFF"/>
                <w:lang w:val="it-IT"/>
              </w:rPr>
              <w:t xml:space="preserve"> </w:t>
            </w:r>
            <w:r w:rsidR="00323C5F" w:rsidRPr="002152AC">
              <w:rPr>
                <w:sz w:val="14"/>
                <w:szCs w:val="14"/>
                <w:lang w:val="it-IT"/>
              </w:rPr>
              <w:t>Selena Sironi, Laura Capelli</w:t>
            </w:r>
          </w:p>
          <w:p w14:paraId="1B0F1814" w14:textId="1C3DE831" w:rsidR="000A03B2" w:rsidRPr="002152AC" w:rsidRDefault="00FA5F5F" w:rsidP="001D21AF">
            <w:pPr>
              <w:tabs>
                <w:tab w:val="left" w:pos="-108"/>
              </w:tabs>
              <w:spacing w:line="140" w:lineRule="atLeast"/>
              <w:ind w:left="-107"/>
              <w:jc w:val="left"/>
            </w:pPr>
            <w:r w:rsidRPr="002152AC">
              <w:rPr>
                <w:rFonts w:ascii="Tahoma" w:hAnsi="Tahoma" w:cs="Tahoma"/>
                <w:iCs/>
                <w:sz w:val="14"/>
                <w:szCs w:val="14"/>
                <w:lang w:eastAsia="it-IT"/>
              </w:rPr>
              <w:t>Copyright © 20</w:t>
            </w:r>
            <w:r w:rsidR="00DF5072" w:rsidRPr="002152AC">
              <w:rPr>
                <w:rFonts w:ascii="Tahoma" w:hAnsi="Tahoma" w:cs="Tahoma"/>
                <w:iCs/>
                <w:sz w:val="14"/>
                <w:szCs w:val="14"/>
                <w:lang w:eastAsia="it-IT"/>
              </w:rPr>
              <w:t>2</w:t>
            </w:r>
            <w:r w:rsidR="00E72EAD" w:rsidRPr="002152AC">
              <w:rPr>
                <w:rFonts w:ascii="Tahoma" w:hAnsi="Tahoma" w:cs="Tahoma"/>
                <w:iCs/>
                <w:sz w:val="14"/>
                <w:szCs w:val="14"/>
                <w:lang w:eastAsia="it-IT"/>
              </w:rPr>
              <w:t>2</w:t>
            </w:r>
            <w:r w:rsidR="00904C62" w:rsidRPr="002152AC">
              <w:rPr>
                <w:rFonts w:ascii="Tahoma" w:hAnsi="Tahoma" w:cs="Tahoma"/>
                <w:iCs/>
                <w:sz w:val="14"/>
                <w:szCs w:val="14"/>
                <w:lang w:eastAsia="it-IT"/>
              </w:rPr>
              <w:t xml:space="preserve">, AIDIC </w:t>
            </w:r>
            <w:proofErr w:type="spellStart"/>
            <w:r w:rsidR="00904C62" w:rsidRPr="002152AC">
              <w:rPr>
                <w:rFonts w:ascii="Tahoma" w:hAnsi="Tahoma" w:cs="Tahoma"/>
                <w:iCs/>
                <w:sz w:val="14"/>
                <w:szCs w:val="14"/>
                <w:lang w:eastAsia="it-IT"/>
              </w:rPr>
              <w:t>Servizi</w:t>
            </w:r>
            <w:proofErr w:type="spellEnd"/>
            <w:r w:rsidR="00904C62" w:rsidRPr="002152AC">
              <w:rPr>
                <w:rFonts w:ascii="Tahoma" w:hAnsi="Tahoma" w:cs="Tahoma"/>
                <w:iCs/>
                <w:sz w:val="14"/>
                <w:szCs w:val="14"/>
                <w:lang w:eastAsia="it-IT"/>
              </w:rPr>
              <w:t xml:space="preserve"> </w:t>
            </w:r>
            <w:proofErr w:type="spellStart"/>
            <w:r w:rsidR="00904C62" w:rsidRPr="002152AC">
              <w:rPr>
                <w:rFonts w:ascii="Tahoma" w:hAnsi="Tahoma" w:cs="Tahoma"/>
                <w:iCs/>
                <w:sz w:val="14"/>
                <w:szCs w:val="14"/>
                <w:lang w:eastAsia="it-IT"/>
              </w:rPr>
              <w:t>S.r.l</w:t>
            </w:r>
            <w:proofErr w:type="spellEnd"/>
            <w:r w:rsidR="00904C62" w:rsidRPr="002152AC">
              <w:rPr>
                <w:rFonts w:ascii="Tahoma" w:hAnsi="Tahoma" w:cs="Tahoma"/>
                <w:iCs/>
                <w:sz w:val="14"/>
                <w:szCs w:val="14"/>
                <w:lang w:eastAsia="it-IT"/>
              </w:rPr>
              <w:t>.</w:t>
            </w:r>
            <w:r w:rsidR="00300E56" w:rsidRPr="002152AC">
              <w:rPr>
                <w:rFonts w:ascii="Tahoma" w:hAnsi="Tahoma" w:cs="Tahoma"/>
                <w:iCs/>
                <w:sz w:val="14"/>
                <w:szCs w:val="14"/>
                <w:lang w:eastAsia="it-IT"/>
              </w:rPr>
              <w:br/>
            </w:r>
            <w:r w:rsidR="00300E56" w:rsidRPr="002152AC">
              <w:rPr>
                <w:rFonts w:ascii="Tahoma" w:hAnsi="Tahoma" w:cs="Tahoma"/>
                <w:b/>
                <w:iCs/>
                <w:sz w:val="14"/>
                <w:szCs w:val="14"/>
                <w:lang w:eastAsia="it-IT"/>
              </w:rPr>
              <w:t>ISBN</w:t>
            </w:r>
            <w:r w:rsidR="00300E56" w:rsidRPr="002152AC">
              <w:rPr>
                <w:rFonts w:ascii="Tahoma" w:hAnsi="Tahoma" w:cs="Tahoma"/>
                <w:iCs/>
                <w:sz w:val="14"/>
                <w:szCs w:val="14"/>
                <w:lang w:eastAsia="it-IT"/>
              </w:rPr>
              <w:t xml:space="preserve"> </w:t>
            </w:r>
            <w:r w:rsidR="008D32B9" w:rsidRPr="002152AC">
              <w:rPr>
                <w:rFonts w:ascii="Tahoma" w:hAnsi="Tahoma" w:cs="Tahoma"/>
                <w:sz w:val="14"/>
                <w:szCs w:val="14"/>
              </w:rPr>
              <w:t>978-88-95608</w:t>
            </w:r>
            <w:r w:rsidR="00D46B7E" w:rsidRPr="002152AC">
              <w:rPr>
                <w:rFonts w:ascii="Tahoma" w:hAnsi="Tahoma" w:cs="Tahoma"/>
                <w:sz w:val="14"/>
                <w:szCs w:val="14"/>
              </w:rPr>
              <w:t>-</w:t>
            </w:r>
            <w:r w:rsidR="001D21AF" w:rsidRPr="002152AC">
              <w:rPr>
                <w:rFonts w:ascii="Tahoma" w:hAnsi="Tahoma" w:cs="Tahoma"/>
                <w:sz w:val="14"/>
                <w:szCs w:val="14"/>
              </w:rPr>
              <w:t>9</w:t>
            </w:r>
            <w:r w:rsidR="00323C5F" w:rsidRPr="002152AC">
              <w:rPr>
                <w:rFonts w:ascii="Tahoma" w:hAnsi="Tahoma" w:cs="Tahoma"/>
                <w:sz w:val="14"/>
                <w:szCs w:val="14"/>
              </w:rPr>
              <w:t>4</w:t>
            </w:r>
            <w:r w:rsidR="00D46B7E" w:rsidRPr="002152AC">
              <w:rPr>
                <w:rFonts w:ascii="Tahoma" w:hAnsi="Tahoma" w:cs="Tahoma"/>
                <w:sz w:val="14"/>
                <w:szCs w:val="14"/>
              </w:rPr>
              <w:t>-</w:t>
            </w:r>
            <w:r w:rsidR="00323C5F" w:rsidRPr="002152AC">
              <w:rPr>
                <w:rFonts w:ascii="Tahoma" w:hAnsi="Tahoma" w:cs="Tahoma"/>
                <w:sz w:val="14"/>
                <w:szCs w:val="14"/>
              </w:rPr>
              <w:t>5</w:t>
            </w:r>
            <w:r w:rsidR="007B48F9" w:rsidRPr="002152AC">
              <w:rPr>
                <w:rFonts w:ascii="Tahoma" w:hAnsi="Tahoma" w:cs="Tahoma"/>
                <w:iCs/>
                <w:sz w:val="14"/>
                <w:szCs w:val="14"/>
                <w:lang w:eastAsia="it-IT"/>
              </w:rPr>
              <w:t>;</w:t>
            </w:r>
            <w:r w:rsidR="00300E56" w:rsidRPr="002152AC">
              <w:rPr>
                <w:rFonts w:ascii="Tahoma" w:hAnsi="Tahoma" w:cs="Tahoma"/>
                <w:iCs/>
                <w:sz w:val="14"/>
                <w:szCs w:val="14"/>
                <w:lang w:eastAsia="it-IT"/>
              </w:rPr>
              <w:t xml:space="preserve"> </w:t>
            </w:r>
            <w:r w:rsidR="00300E56" w:rsidRPr="002152AC">
              <w:rPr>
                <w:rFonts w:ascii="Tahoma" w:hAnsi="Tahoma" w:cs="Tahoma"/>
                <w:b/>
                <w:iCs/>
                <w:sz w:val="14"/>
                <w:szCs w:val="14"/>
                <w:lang w:eastAsia="it-IT"/>
              </w:rPr>
              <w:t>ISSN</w:t>
            </w:r>
            <w:r w:rsidR="00300E56" w:rsidRPr="002152AC">
              <w:rPr>
                <w:rFonts w:ascii="Tahoma" w:hAnsi="Tahoma" w:cs="Tahoma"/>
                <w:iCs/>
                <w:sz w:val="14"/>
                <w:szCs w:val="14"/>
                <w:lang w:eastAsia="it-IT"/>
              </w:rPr>
              <w:t xml:space="preserve"> 2283-9216</w:t>
            </w:r>
          </w:p>
        </w:tc>
      </w:tr>
    </w:tbl>
    <w:p w14:paraId="2E667253" w14:textId="7EF2098F" w:rsidR="00E978D0" w:rsidRPr="002152AC" w:rsidRDefault="00A1169D" w:rsidP="00E978D0">
      <w:pPr>
        <w:pStyle w:val="CETTitle"/>
      </w:pPr>
      <w:r w:rsidRPr="002152AC">
        <w:t xml:space="preserve">Portable </w:t>
      </w:r>
      <w:r w:rsidR="00FA7F77" w:rsidRPr="002152AC">
        <w:t xml:space="preserve">instrumental odour monitoring system </w:t>
      </w:r>
      <w:r w:rsidR="001338ED" w:rsidRPr="002152AC">
        <w:t xml:space="preserve">for Air </w:t>
      </w:r>
      <w:r w:rsidR="007C1800" w:rsidRPr="002152AC">
        <w:t>Quality</w:t>
      </w:r>
      <w:r w:rsidR="001338ED" w:rsidRPr="002152AC">
        <w:t xml:space="preserve"> </w:t>
      </w:r>
      <w:r w:rsidRPr="002152AC">
        <w:t xml:space="preserve">Monitoring </w:t>
      </w:r>
      <w:r w:rsidR="007C1800" w:rsidRPr="002152AC">
        <w:t xml:space="preserve">by citizens </w:t>
      </w:r>
      <w:r w:rsidR="001338ED" w:rsidRPr="002152AC">
        <w:t>in Outdoor Environments</w:t>
      </w:r>
    </w:p>
    <w:p w14:paraId="0488FED2" w14:textId="69918A29" w:rsidR="00B57E6F" w:rsidRPr="002152AC" w:rsidRDefault="00E077C8" w:rsidP="00B57E6F">
      <w:pPr>
        <w:pStyle w:val="CETAuthors"/>
        <w:rPr>
          <w:lang w:val="es-ES"/>
        </w:rPr>
      </w:pPr>
      <w:r w:rsidRPr="002152AC">
        <w:rPr>
          <w:lang w:val="es-ES"/>
        </w:rPr>
        <w:t>Sergio Palomeque-Mangut</w:t>
      </w:r>
      <w:r w:rsidR="00260252" w:rsidRPr="002152AC">
        <w:rPr>
          <w:vertAlign w:val="superscript"/>
          <w:lang w:val="es-ES"/>
        </w:rPr>
        <w:t>1</w:t>
      </w:r>
      <w:r w:rsidR="00B57E6F" w:rsidRPr="002152AC">
        <w:rPr>
          <w:lang w:val="es-ES"/>
        </w:rPr>
        <w:t xml:space="preserve">, </w:t>
      </w:r>
      <w:r w:rsidRPr="002152AC">
        <w:rPr>
          <w:lang w:val="es-ES"/>
        </w:rPr>
        <w:t>Félix Mel</w:t>
      </w:r>
      <w:r w:rsidR="00740A10" w:rsidRPr="002152AC">
        <w:rPr>
          <w:lang w:val="es-ES"/>
        </w:rPr>
        <w:t>é</w:t>
      </w:r>
      <w:r w:rsidRPr="002152AC">
        <w:rPr>
          <w:lang w:val="es-ES"/>
        </w:rPr>
        <w:t>ndez</w:t>
      </w:r>
      <w:r w:rsidR="009532FF" w:rsidRPr="002152AC">
        <w:rPr>
          <w:vertAlign w:val="superscript"/>
          <w:lang w:val="es-ES"/>
        </w:rPr>
        <w:t>1</w:t>
      </w:r>
      <w:r w:rsidR="00B57E6F" w:rsidRPr="002152AC">
        <w:rPr>
          <w:lang w:val="es-ES"/>
        </w:rPr>
        <w:t xml:space="preserve">, </w:t>
      </w:r>
      <w:r w:rsidR="009A632E" w:rsidRPr="002152AC">
        <w:rPr>
          <w:lang w:val="es-ES"/>
        </w:rPr>
        <w:t>Jaime G</w:t>
      </w:r>
      <w:r w:rsidR="00696182" w:rsidRPr="002152AC">
        <w:rPr>
          <w:lang w:val="es-ES"/>
        </w:rPr>
        <w:t>ó</w:t>
      </w:r>
      <w:r w:rsidR="009A632E" w:rsidRPr="002152AC">
        <w:rPr>
          <w:lang w:val="es-ES"/>
        </w:rPr>
        <w:t>mez-Su</w:t>
      </w:r>
      <w:r w:rsidR="00696182" w:rsidRPr="002152AC">
        <w:rPr>
          <w:lang w:val="es-ES"/>
        </w:rPr>
        <w:t>á</w:t>
      </w:r>
      <w:r w:rsidR="009A632E" w:rsidRPr="002152AC">
        <w:rPr>
          <w:lang w:val="es-ES"/>
        </w:rPr>
        <w:t>rez</w:t>
      </w:r>
      <w:r w:rsidR="009532FF" w:rsidRPr="002152AC">
        <w:rPr>
          <w:vertAlign w:val="superscript"/>
          <w:lang w:val="es-ES"/>
        </w:rPr>
        <w:t>1</w:t>
      </w:r>
      <w:r w:rsidR="009A632E" w:rsidRPr="002152AC">
        <w:rPr>
          <w:lang w:val="es-ES"/>
        </w:rPr>
        <w:t>, Patricia Arroyo</w:t>
      </w:r>
      <w:r w:rsidR="009532FF" w:rsidRPr="002152AC">
        <w:rPr>
          <w:vertAlign w:val="superscript"/>
          <w:lang w:val="es-ES"/>
        </w:rPr>
        <w:t>1</w:t>
      </w:r>
      <w:r w:rsidR="00260252" w:rsidRPr="002152AC">
        <w:rPr>
          <w:lang w:val="es-ES"/>
        </w:rPr>
        <w:t>, José Pedro Santos</w:t>
      </w:r>
      <w:r w:rsidR="009A632E" w:rsidRPr="002152AC">
        <w:rPr>
          <w:lang w:val="es-ES"/>
        </w:rPr>
        <w:t>, Jesus Lozano</w:t>
      </w:r>
      <w:r w:rsidR="009532FF" w:rsidRPr="002152AC">
        <w:rPr>
          <w:vertAlign w:val="superscript"/>
          <w:lang w:val="es-ES"/>
        </w:rPr>
        <w:t>1,</w:t>
      </w:r>
      <w:r w:rsidR="009532FF" w:rsidRPr="002152AC">
        <w:rPr>
          <w:lang w:val="es-ES"/>
        </w:rPr>
        <w:t>*</w:t>
      </w:r>
    </w:p>
    <w:p w14:paraId="6B2D21B3" w14:textId="5B1E33D0" w:rsidR="00B57E6F" w:rsidRPr="002152AC" w:rsidRDefault="00C74B37" w:rsidP="00B57E6F">
      <w:pPr>
        <w:pStyle w:val="CETAddress"/>
        <w:rPr>
          <w:lang w:val="es-ES"/>
        </w:rPr>
      </w:pPr>
      <w:r w:rsidRPr="002152AC">
        <w:rPr>
          <w:vertAlign w:val="superscript"/>
          <w:lang w:val="es-ES"/>
        </w:rPr>
        <w:t>1</w:t>
      </w:r>
      <w:r w:rsidR="00441864" w:rsidRPr="002152AC">
        <w:rPr>
          <w:vertAlign w:val="superscript"/>
          <w:lang w:val="es-ES"/>
        </w:rPr>
        <w:t xml:space="preserve"> </w:t>
      </w:r>
      <w:r w:rsidR="00441864" w:rsidRPr="002152AC">
        <w:rPr>
          <w:lang w:val="es-ES"/>
        </w:rPr>
        <w:t>Escuela de Ingenierías Industriales, Universidad de Extremadura, Badajoz (Spain)</w:t>
      </w:r>
      <w:r w:rsidR="00B57E6F" w:rsidRPr="002152AC">
        <w:rPr>
          <w:lang w:val="es-ES"/>
        </w:rPr>
        <w:t xml:space="preserve"> </w:t>
      </w:r>
    </w:p>
    <w:p w14:paraId="3D72B0B0" w14:textId="30B690E6" w:rsidR="00B57E6F" w:rsidRPr="002152AC" w:rsidRDefault="00441864" w:rsidP="00B57E6F">
      <w:pPr>
        <w:pStyle w:val="CETAddress"/>
        <w:rPr>
          <w:lang w:val="es-ES"/>
        </w:rPr>
      </w:pPr>
      <w:r w:rsidRPr="002152AC">
        <w:rPr>
          <w:vertAlign w:val="superscript"/>
          <w:lang w:val="es-ES"/>
        </w:rPr>
        <w:t xml:space="preserve">2 </w:t>
      </w:r>
      <w:r w:rsidRPr="002152AC">
        <w:rPr>
          <w:lang w:val="es-ES"/>
        </w:rPr>
        <w:t>Instituto de Tecnologías Físicas y de la Información, CSIC, Madrid (Spain)</w:t>
      </w:r>
    </w:p>
    <w:p w14:paraId="73F1267A" w14:textId="6A773A30" w:rsidR="00B57E6F" w:rsidRPr="002152AC" w:rsidRDefault="00B57E6F" w:rsidP="00B57E6F">
      <w:pPr>
        <w:pStyle w:val="CETemail"/>
      </w:pPr>
      <w:r w:rsidRPr="002152AC">
        <w:rPr>
          <w:lang w:val="es-ES"/>
        </w:rPr>
        <w:t xml:space="preserve"> </w:t>
      </w:r>
      <w:r w:rsidR="00441864" w:rsidRPr="002152AC">
        <w:t xml:space="preserve">(*) </w:t>
      </w:r>
      <w:hyperlink r:id="rId10" w:history="1">
        <w:r w:rsidR="00441864" w:rsidRPr="002152AC">
          <w:rPr>
            <w:rStyle w:val="Hipervnculo"/>
            <w:color w:val="auto"/>
          </w:rPr>
          <w:t>jesuslozano@unex.es</w:t>
        </w:r>
      </w:hyperlink>
      <w:r w:rsidR="00441864" w:rsidRPr="002152AC">
        <w:t xml:space="preserve"> </w:t>
      </w:r>
    </w:p>
    <w:p w14:paraId="7F5B8122" w14:textId="1320512B" w:rsidR="003430BC" w:rsidRPr="002152AC" w:rsidRDefault="003430BC" w:rsidP="00600535">
      <w:pPr>
        <w:pStyle w:val="CETBodytext"/>
      </w:pPr>
      <w:r w:rsidRPr="004F5919">
        <w:t>Air pollution is a major contributor to the global disease burden. Scientific literature has been consistent for the past decades, exposing the dangers behind hazardous air quality in both indoor and outdoor environments, and its impact on human health and ecosystems. Conventional monitoring stations are expensive and bulky, limiting the spatiotemporal resolution of the provided data. For this reason, administrations are interested in adding low-cost sensors to the monitoring network, and thus obtaining measures from multiple sources to enhance the network’s density and coverage. In this work, we present a</w:t>
      </w:r>
      <w:r w:rsidR="00337DB1" w:rsidRPr="004F5919">
        <w:t xml:space="preserve"> portable Instrumental </w:t>
      </w:r>
      <w:proofErr w:type="spellStart"/>
      <w:r w:rsidR="00337DB1" w:rsidRPr="004F5919">
        <w:t>Odour</w:t>
      </w:r>
      <w:proofErr w:type="spellEnd"/>
      <w:r w:rsidR="00337DB1" w:rsidRPr="004F5919">
        <w:t xml:space="preserve"> Monitoring System</w:t>
      </w:r>
      <w:r w:rsidRPr="004F5919">
        <w:t xml:space="preserve"> </w:t>
      </w:r>
      <w:r w:rsidR="00337DB1" w:rsidRPr="004F5919">
        <w:t>(IOMS)</w:t>
      </w:r>
      <w:r w:rsidR="00E96750" w:rsidRPr="004F5919">
        <w:t xml:space="preserve"> </w:t>
      </w:r>
      <w:r w:rsidRPr="004F5919">
        <w:t>consisting of a</w:t>
      </w:r>
      <w:r w:rsidR="00E96750" w:rsidRPr="004F5919">
        <w:t>n electronic</w:t>
      </w:r>
      <w:r w:rsidRPr="004F5919">
        <w:t xml:space="preserve"> device with an array of metal oxide semiconductor (MOS) gas </w:t>
      </w:r>
      <w:r w:rsidR="00E96750" w:rsidRPr="004F5919">
        <w:t xml:space="preserve">and Particle Matter </w:t>
      </w:r>
      <w:r w:rsidRPr="004F5919">
        <w:t>sensors</w:t>
      </w:r>
      <w:r w:rsidR="00E96750" w:rsidRPr="004F5919">
        <w:t xml:space="preserve"> connected through Bluetooth</w:t>
      </w:r>
      <w:r w:rsidR="0021263E" w:rsidRPr="004F5919">
        <w:t xml:space="preserve"> with</w:t>
      </w:r>
      <w:r w:rsidRPr="004F5919">
        <w:t xml:space="preserve"> a smartphone with our own developed app that gathers data and sends it to a cloud. We tested the device in two different experimental setups, the first with laboratory-controlled conditions and the second </w:t>
      </w:r>
      <w:r w:rsidR="004F5919" w:rsidRPr="004F5919">
        <w:t>in field, creating a</w:t>
      </w:r>
      <w:r w:rsidRPr="004F5919">
        <w:t xml:space="preserve"> network with the help of volunteers in the city of Barcelona</w:t>
      </w:r>
      <w:r w:rsidR="00D51C02" w:rsidRPr="004F5919">
        <w:t>.</w:t>
      </w:r>
    </w:p>
    <w:p w14:paraId="476B2F2E" w14:textId="77777777" w:rsidR="00600535" w:rsidRPr="002152AC" w:rsidRDefault="00600535" w:rsidP="00600535">
      <w:pPr>
        <w:pStyle w:val="CETHeading1"/>
        <w:rPr>
          <w:lang w:val="en-GB"/>
        </w:rPr>
      </w:pPr>
      <w:r w:rsidRPr="002152AC">
        <w:rPr>
          <w:lang w:val="en-GB"/>
        </w:rPr>
        <w:t>Introduction</w:t>
      </w:r>
    </w:p>
    <w:p w14:paraId="603B681A" w14:textId="3400634F" w:rsidR="00B75627" w:rsidRPr="002152AC" w:rsidRDefault="00B75627" w:rsidP="00600535">
      <w:pPr>
        <w:pStyle w:val="CETBodytext"/>
        <w:rPr>
          <w:lang w:val="en-GB"/>
        </w:rPr>
      </w:pPr>
      <w:r w:rsidRPr="002152AC">
        <w:rPr>
          <w:lang w:val="en-GB"/>
        </w:rPr>
        <w:t xml:space="preserve">Scientific literature has been consistent for the past decades, showing the dangers behind exposure to air pollution both in indoor and outdoor environments. For that reason, policy makers and environmental agencies have a strong need for measuring the concentration of pollutants in certain areas, so that they can take </w:t>
      </w:r>
      <w:proofErr w:type="spellStart"/>
      <w:r w:rsidRPr="002152AC">
        <w:rPr>
          <w:lang w:val="en-GB"/>
        </w:rPr>
        <w:t>preemptive</w:t>
      </w:r>
      <w:proofErr w:type="spellEnd"/>
      <w:r w:rsidRPr="002152AC">
        <w:rPr>
          <w:lang w:val="en-GB"/>
        </w:rPr>
        <w:t xml:space="preserve"> countermeasures and inform the public on certain precautions. One of the problems when facing this issue are the costs of conventional air quality monitoring equipment. These instruments provide accurate data about the presence of pollutants, but their price and size are large. Therefore, their use in cities is limited to a few locations, creating a network of monitors with poor spatial and time resolution.</w:t>
      </w:r>
      <w:r w:rsidR="008C3AAF" w:rsidRPr="002152AC">
        <w:rPr>
          <w:lang w:val="en-GB"/>
        </w:rPr>
        <w:t xml:space="preserve"> </w:t>
      </w:r>
    </w:p>
    <w:p w14:paraId="0DEE9C74" w14:textId="15F4BDF3" w:rsidR="00657DD2" w:rsidRPr="002152AC" w:rsidRDefault="00657DD2" w:rsidP="00600535">
      <w:pPr>
        <w:pStyle w:val="CETBodytext"/>
        <w:rPr>
          <w:lang w:val="en-GB"/>
        </w:rPr>
      </w:pPr>
    </w:p>
    <w:p w14:paraId="6927C268" w14:textId="24F393DF" w:rsidR="00657DD2" w:rsidRPr="002152AC" w:rsidRDefault="00657DD2" w:rsidP="00600535">
      <w:pPr>
        <w:pStyle w:val="CETBodytext"/>
        <w:rPr>
          <w:lang w:val="en-GB"/>
        </w:rPr>
      </w:pPr>
      <w:r w:rsidRPr="002152AC">
        <w:rPr>
          <w:lang w:val="en-GB"/>
        </w:rPr>
        <w:t>An article published in The Lancet in 2017 determined that long-term exposure to ambient fine particles caused 4.2 million deaths in just one year</w:t>
      </w:r>
      <w:r w:rsidR="00AA4505" w:rsidRPr="002152AC">
        <w:rPr>
          <w:lang w:val="en-GB"/>
        </w:rPr>
        <w:t xml:space="preserve"> </w:t>
      </w:r>
      <w:r w:rsidR="00AA4505" w:rsidRPr="002152AC">
        <w:rPr>
          <w:lang w:val="en-GB"/>
        </w:rPr>
        <w:fldChar w:fldCharType="begin" w:fldLock="1"/>
      </w:r>
      <w:r w:rsidR="00AA4505" w:rsidRPr="002152AC">
        <w:rPr>
          <w:lang w:val="en-GB"/>
        </w:rPr>
        <w:instrText>ADDIN CSL_CITATION {"citationItems":[{"id":"ITEM-1","itemData":{"DOI":"10.1016/S0140-6736(17)30505-6","ISSN":"1474547X","PMID":"28408086","abstract":"Background Exposure to ambient air pollution increases morbidity and mortality, and is a leading contributor to global disease burden. We explored spatial and temporal trends in mortality and burden of disease attributable to ambient air pollution from 1990 to 2015 at global, regional, and country levels. Methods We estimated global population-weighted mean concentrations of particle mass with aerodynamic diameter less than 2·5 μm (PM2·5) and ozone at an approximate 11 km × 11 km resolution with satellite-based estimates, chemical transport models, and ground-level measurements. Using integrated exposure–response functions for each cause of death, we estimated the relative risk of mortality from ischaemic heart disease, cerebrovascular disease, chronic obstructive pulmonary disease, lung cancer, and lower respiratory infections from epidemiological studies using non-linear exposure–response functions spanning the global range of exposure. Findings Ambient PM2·5 was the fifth-ranking mortality risk factor in 2015. Exposure to PM2·5 caused 4·2 million (95% uncertainty interval [UI] 3·7 million to 4·8 million) deaths and 103·1 million (90·8 million 115·1 million) disability-adjusted life-years (DALYs) in 2015, representing 7·6% of total global deaths and 4·2% of global DALYs, 59% of these in east and south Asia. Deaths attributable to ambient PM2·5 increased from 3·5 million (95% UI 3·0 million to 4·0 million) in 1990 to 4·2 million (3·7 million to 4·8 million) in 2015. Exposure to ozone caused an additional 254 000 (95% UI 97 000–422 000) deaths and a loss of 4·1 million (1·6 million to 6·8 million) DALYs from chronic obstructive pulmonary disease in 2015. Interpretation Ambient air pollution contributed substantially to the global burden of disease in 2015, which increased over the past 25 years, due to population ageing, changes in non-communicable disease rates, and increasing air pollution in low-income and middle-income countries. Modest reductions in burden will occur in the most polluted countries unless PM2·5 values are decreased substantially, but there is potential for substantial health benefits from exposure reduction. Funding Bill &amp; Melinda Gates Foundation and Health Effects Institute.","author":[{"dropping-particle":"","family":"Cohen","given":"Aaron J.","non-dropping-particle":"","parse-names":false,"suffix":""},{"dropping-particle":"","family":"Brauer","given":"Michael","non-dropping-particle":"","parse-names":false,"suffix":""},{"dropping-particle":"","family":"Burnett","given":"Richard","non-dropping-particle":"","parse-names":false,"suffix":""},{"dropping-particle":"","family":"Anderson","given":"H. Ross","non-dropping-particle":"","parse-names":false,"suffix":""},{"dropping-particle":"","family":"Frostad","given":"Joseph","non-dropping-particle":"","parse-names":false,"suffix":""},{"dropping-particle":"","family":"Estep","given":"Kara","non-dropping-particle":"","parse-names":false,"suffix":""},{"dropping-particle":"","family":"Balakrishnan","given":"Kalpana","non-dropping-particle":"","parse-names":false,"suffix":""},{"dropping-particle":"","family":"Brunekreef","given":"Bert","non-dropping-particle":"","parse-names":false,"suffix":""},{"dropping-particle":"","family":"Dandona","given":"Lalit","non-dropping-particle":"","parse-names":false,"suffix":""},{"dropping-particle":"","family":"Dandona","given":"Rakhi","non-dropping-particle":"","parse-names":false,"suffix":""},{"dropping-particle":"","family":"Feigin","given":"Valery","non-dropping-particle":"","parse-names":false,"suffix":""},{"dropping-particle":"","family":"Freedman","given":"Greg","non-dropping-particle":"","parse-names":false,"suffix":""},{"dropping-particle":"","family":"Hubbell","given":"Bryan","non-dropping-particle":"","parse-names":false,"suffix":""},{"dropping-particle":"","family":"Jobling","given":"Amelia","non-dropping-particle":"","parse-names":false,"suffix":""},{"dropping-particle":"","family":"Kan","given":"Haidong","non-dropping-particle":"","parse-names":false,"suffix":""},{"dropping-particle":"","family":"Knibbs","given":"Luke","non-dropping-particle":"","parse-names":false,"suffix":""},{"dropping-particle":"","family":"Liu","given":"Yang","non-dropping-particle":"","parse-names":false,"suffix":""},{"dropping-particle":"","family":"Martin","given":"Randall","non-dropping-particle":"","parse-names":false,"suffix":""},{"dropping-particle":"","family":"Morawska","given":"Lidia","non-dropping-particle":"","parse-names":false,"suffix":""},{"dropping-particle":"","family":"Pope","given":"C. Arden","non-dropping-particle":"","parse-names":false,"suffix":""},{"dropping-particle":"","family":"Shin","given":"Hwashin","non-dropping-particle":"","parse-names":false,"suffix":""},{"dropping-particle":"","family":"Straif","given":"Kurt","non-dropping-particle":"","parse-names":false,"suffix":""},{"dropping-particle":"","family":"Shaddick","given":"Gavin","non-dropping-particle":"","parse-names":false,"suffix":""},{"dropping-particle":"","family":"Thomas","given":"Matthew","non-dropping-particle":"","parse-names":false,"suffix":""},{"dropping-particle":"","family":"Dingenen","given":"Rita","non-dropping-particle":"van","parse-names":false,"suffix":""},{"dropping-particle":"","family":"Donkelaar","given":"Aaron","non-dropping-particle":"van","parse-names":false,"suffix":""},{"dropping-particle":"","family":"Vos","given":"Theo","non-dropping-particle":"","parse-names":false,"suffix":""},{"dropping-particle":"","family":"Murray","given":"Christopher J.L.","non-dropping-particle":"","parse-names":false,"suffix":""},{"dropping-particle":"","family":"Forouzanfar","given":"Mohammad H.","non-dropping-particle":"","parse-names":false,"suffix":""}],"container-title":"The Lancet","id":"ITEM-1","issue":"10082","issued":{"date-parts":[["2017"]]},"page":"1907-1918","publisher":"The Author(s). Published by Elsevier Ltd. This is an Open Access article under the CC BY 4.0 license","title":"Estimates and 25-year trends of the global burden of disease attributable to ambient air pollution: an analysis of data from the Global Burden of Diseases Study 2015","type":"article-journal","volume":"389"},"uris":["http://www.mendeley.com/documents/?uuid=14e4e7de-a9d7-42b8-a7de-a590d7e8f743"]}],"mendeley":{"formattedCitation":"(Cohen et al., 2017)","plainTextFormattedCitation":"(Cohen et al., 2017)","previouslyFormattedCitation":"(Cohen et al., 2017)"},"properties":{"noteIndex":0},"schema":"https://github.com/citation-style-language/schema/raw/master/csl-citation.json"}</w:instrText>
      </w:r>
      <w:r w:rsidR="00AA4505" w:rsidRPr="002152AC">
        <w:rPr>
          <w:lang w:val="en-GB"/>
        </w:rPr>
        <w:fldChar w:fldCharType="separate"/>
      </w:r>
      <w:r w:rsidR="00AA4505" w:rsidRPr="002152AC">
        <w:rPr>
          <w:noProof/>
          <w:lang w:val="en-GB"/>
        </w:rPr>
        <w:t>(Cohen et al., 2017)</w:t>
      </w:r>
      <w:r w:rsidR="00AA4505" w:rsidRPr="002152AC">
        <w:rPr>
          <w:lang w:val="en-GB"/>
        </w:rPr>
        <w:fldChar w:fldCharType="end"/>
      </w:r>
      <w:r w:rsidRPr="002152AC">
        <w:rPr>
          <w:lang w:val="en-GB"/>
        </w:rPr>
        <w:t>. Subsequent studies have shown this number of casualties to be even larger and persist in considering air pollution one of the top leading risk factors for mortality globally. The last approximation made by the World Health Organization estimates that 8 million deaths are attributable to both exposure to ambient outdoor air pollution and household’s smokes. When considering the actions from institutions, it’s important to consider that air quality monitoring equipment’s are expensive and bulky. Therefore, there is a limit in the number of locations that we can measure, and that’s why low-cost sensing technologies have been gathering a great deal of attention.</w:t>
      </w:r>
    </w:p>
    <w:p w14:paraId="2E30A2CB" w14:textId="407CAC65" w:rsidR="006221BE" w:rsidRPr="002152AC" w:rsidRDefault="006221BE" w:rsidP="00600535">
      <w:pPr>
        <w:pStyle w:val="CETBodytext"/>
        <w:rPr>
          <w:lang w:val="en-GB"/>
        </w:rPr>
      </w:pPr>
    </w:p>
    <w:p w14:paraId="1F3D801E" w14:textId="37E0499E" w:rsidR="00C76BA4" w:rsidRPr="002152AC" w:rsidRDefault="00593387" w:rsidP="00C74A20">
      <w:pPr>
        <w:pStyle w:val="CETBodytext"/>
        <w:rPr>
          <w:lang w:val="en-GB"/>
        </w:rPr>
      </w:pPr>
      <w:r w:rsidRPr="002152AC">
        <w:rPr>
          <w:lang w:val="en-GB"/>
        </w:rPr>
        <w:t xml:space="preserve">The WHO Air quality guidelines serves as base for legislation on limiting the maximum permitted concentration of these substances in urban air. Air Quality Index is used by local governments for activating restricted traffic protocols or publishing informative maps. Monitoring equipment that cities are installing can be relatively small stations or robust compact systems, but due to their nature they are not suitable for citizens to use. </w:t>
      </w:r>
      <w:r w:rsidR="00DF508F" w:rsidRPr="002152AC">
        <w:rPr>
          <w:lang w:val="en-GB"/>
        </w:rPr>
        <w:t>Low-cost</w:t>
      </w:r>
      <w:r w:rsidRPr="002152AC">
        <w:rPr>
          <w:lang w:val="en-GB"/>
        </w:rPr>
        <w:t xml:space="preserve"> sensor platforms, designed to be carried by citizens, are being studied as potential sensor nodes in a dense air quality monitoring network </w:t>
      </w:r>
      <w:r w:rsidR="00DE078D" w:rsidRPr="002152AC">
        <w:rPr>
          <w:lang w:val="en-GB"/>
        </w:rPr>
        <w:fldChar w:fldCharType="begin" w:fldLock="1"/>
      </w:r>
      <w:r w:rsidR="00603B16" w:rsidRPr="002152AC">
        <w:rPr>
          <w:lang w:val="en-GB"/>
        </w:rPr>
        <w:instrText>ADDIN CSL_CITATION {"citationItems":[{"id":"ITEM-1","itemData":{"DOI":"10.1016/j.envint.2016.12.007","ISSN":"18736750","PMID":"28038970","abstract":"The emergence of low-cost, user-friendly and very compact air pollution platforms enable observations at high spatial resolution in near-real-time and provide new opportunities to simultaneously enhance existing monitoring systems, as well as engage citizens in active environmental monitoring. This provides a whole new set of capabilities in the assessment of human exposure to air pollution. However, the data generated by these platforms are often of questionable quality. We have conducted an exhaustive evaluation of 24 identical units of a commercial low-cost sensor platform against CEN (European Standardization Organization) reference analyzers, evaluating their measurement capability over time and a range of environmental conditions. Our results show that their performance varies spatially and temporally, as it depends on the atmospheric composition and the meteorological conditions. Our results show that the performance varies from unit to unit, which makes it necessary to examine the data quality of each node before its use. In general, guidance is lacking on how to test such sensor nodes and ensure adequate performance prior to marketing these platforms. We have implemented and tested diverse metrics in order to assess if the sensor can be employed for applications that require high accuracy (i.e., to meet the Data Quality Objectives defined in air quality legislation, epidemiological studies) or lower accuracy (i.e., to represent the pollution level on a coarse scale, for purposes such as awareness raising). Data quality is a pertinent concern, especially in citizen science applications, where citizens are collecting and interpreting the data. In general, while low-cost platforms present low accuracy for regulatory or health purposes they can provide relative and aggregated information about the observed air quality.","author":[{"dropping-particle":"","family":"Castell","given":"Nuria","non-dropping-particle":"","parse-names":false,"suffix":""},{"dropping-particle":"","family":"Dauge","given":"Franck R.","non-dropping-particle":"","parse-names":false,"suffix":""},{"dropping-particle":"","family":"Schneider","given":"Philipp","non-dropping-particle":"","parse-names":false,"suffix":""},{"dropping-particle":"","family":"Vogt","given":"Matthias","non-dropping-particle":"","parse-names":false,"suffix":""},{"dropping-particle":"","family":"Lerner","given":"Uri","non-dropping-particle":"","parse-names":false,"suffix":""},{"dropping-particle":"","family":"Fishbain","given":"Barak","non-dropping-particle":"","parse-names":false,"suffix":""},{"dropping-particle":"","family":"Broday","given":"David","non-dropping-particle":"","parse-names":false,"suffix":""},{"dropping-particle":"","family":"Bartonova","given":"Alena","non-dropping-particle":"","parse-names":false,"suffix":""}],"container-title":"Environment International","id":"ITEM-1","issued":{"date-parts":[["2017"]]},"page":"293-302","title":"Can commercial low-cost sensor platforms contribute to air quality monitoring and exposure estimates?","type":"article-journal","volume":"99"},"uris":["http://www.mendeley.com/documents/?uuid=50e3f89d-172d-44b0-a8a6-d104698bde8c"]}],"mendeley":{"formattedCitation":"(Castell et al., 2017)","plainTextFormattedCitation":"(Castell et al., 2017)","previouslyFormattedCitation":"(Castell et al., 2017)"},"properties":{"noteIndex":0},"schema":"https://github.com/citation-style-language/schema/raw/master/csl-citation.json"}</w:instrText>
      </w:r>
      <w:r w:rsidR="00DE078D" w:rsidRPr="002152AC">
        <w:rPr>
          <w:lang w:val="en-GB"/>
        </w:rPr>
        <w:fldChar w:fldCharType="separate"/>
      </w:r>
      <w:r w:rsidR="00DE078D" w:rsidRPr="002152AC">
        <w:rPr>
          <w:noProof/>
          <w:lang w:val="en-GB"/>
        </w:rPr>
        <w:t>(Castell et al., 2017)</w:t>
      </w:r>
      <w:r w:rsidR="00DE078D" w:rsidRPr="002152AC">
        <w:rPr>
          <w:lang w:val="en-GB"/>
        </w:rPr>
        <w:fldChar w:fldCharType="end"/>
      </w:r>
      <w:r w:rsidRPr="002152AC">
        <w:rPr>
          <w:lang w:val="en-GB"/>
        </w:rPr>
        <w:t xml:space="preserve">. </w:t>
      </w:r>
      <w:r w:rsidR="006221BE" w:rsidRPr="002152AC">
        <w:rPr>
          <w:lang w:val="en-GB"/>
        </w:rPr>
        <w:t>With such a network, large urban areas can be mapped with higher density of measures.</w:t>
      </w:r>
      <w:r w:rsidR="00C74A20" w:rsidRPr="002152AC">
        <w:rPr>
          <w:lang w:val="en-GB"/>
        </w:rPr>
        <w:t xml:space="preserve"> A recent report by the World Meteorological Organization (WMO) comprehensively examines a range of low-cost gas sensors for air quality monitoring </w:t>
      </w:r>
      <w:r w:rsidR="00A839DF" w:rsidRPr="002152AC">
        <w:rPr>
          <w:lang w:val="en-GB"/>
        </w:rPr>
        <w:fldChar w:fldCharType="begin" w:fldLock="1"/>
      </w:r>
      <w:r w:rsidR="0033447D" w:rsidRPr="002152AC">
        <w:rPr>
          <w:lang w:val="en-GB"/>
        </w:rPr>
        <w:instrText>ADDIN CSL_CITATION {"citationItems":[{"id":"ITEM-1","itemData":{"ISBN":"9789263112156","ISSN":"978-92-63-11215-6","abstract":"Measurement of reactive air pollutants and greenhouse gases underpin a huge variety of applications that span from academic research through to regulatory functions and services for individuals, governments, and businesses. Whilst the vast majority of these observations continue to use established analytical reference methods, miniaturization has led to a growth in the prominence of a generation of devices that are often described generically as “low-cost sensors” (LCSs). LCSs can in practice have other valuable features other than cost that differentiate them from previous technologies including being of smaller size, lower weight and having reduced power consumption. Different technologies falling within this class include passive electrochemical and metal oxide sensors that may have costs of only a few dollars each, through to more complex microelectromechanical devices that use the same analytical principles as reference instruments, but in smaller size and power packages. As a class of device, low-cost sensors encompass a very wide range of technologies and as a consequence they produce a wide range of quality of measurements. When selecting a LCS approach for a particular task, users need to ensure the specific sensor to be used will meet application’s data quality requirements. This","author":[{"dropping-particle":"","family":"Lung","given":"Candice","non-dropping-particle":"","parse-names":false,"suffix":""},{"dropping-particle":"","family":"Jones","given":"Rod","non-dropping-particle":"","parse-names":false,"suffix":""},{"dropping-particle":"","family":"Zellweger","given":"Christoph","non-dropping-particle":"","parse-names":false,"suffix":""},{"dropping-particle":"","family":"Karppinen","given":"Ari","non-dropping-particle":"","parse-names":false,"suffix":""},{"dropping-particle":"","family":"Penza","given":"Michele","non-dropping-particle":"","parse-names":false,"suffix":""},{"dropping-particle":"","family":"Dye","given":"Tim","non-dropping-particle":"","parse-names":false,"suffix":""},{"dropping-particle":"","family":"Hüglin","given":"Christoph","non-dropping-particle":"","parse-names":false,"suffix":""},{"dropping-particle":"","family":"Ning","given":"Zhi","non-dropping-particle":"","parse-names":false,"suffix":""},{"dropping-particle":"","family":"Leigh","given":"Roland","non-dropping-particle":"","parse-names":false,"suffix":""},{"dropping-particle":"","family":"Hagan","given":"David H.","non-dropping-particle":"","parse-names":false,"suffix":""},{"dropping-particle":"","family":"Laurent","given":"Olivier","non-dropping-particle":"","parse-names":false,"suffix":""},{"dropping-particle":"","family":"Carmichael","given":"Greg","non-dropping-particle":"","parse-names":false,"suffix":""}],"container-title":"Wmo","id":"ITEM-1","issue":"May","issued":{"date-parts":[["2018"]]},"title":"Low-cost sensors for the measurement of atmospheric composition: overview of topic and future applications","type":"report"},"uris":["http://www.mendeley.com/documents/?uuid=83da2130-156b-4d73-bcf2-070f3daf14cf"]}],"mendeley":{"formattedCitation":"(Lung et al., 2018)","plainTextFormattedCitation":"(Lung et al., 2018)","previouslyFormattedCitation":"(Lung et al., 2018)"},"properties":{"noteIndex":0},"schema":"https://github.com/citation-style-language/schema/raw/master/csl-citation.json"}</w:instrText>
      </w:r>
      <w:r w:rsidR="00A839DF" w:rsidRPr="002152AC">
        <w:rPr>
          <w:lang w:val="en-GB"/>
        </w:rPr>
        <w:fldChar w:fldCharType="separate"/>
      </w:r>
      <w:r w:rsidR="00A839DF" w:rsidRPr="002152AC">
        <w:rPr>
          <w:noProof/>
          <w:lang w:val="en-GB"/>
        </w:rPr>
        <w:t>(Lung et al., 2018)</w:t>
      </w:r>
      <w:r w:rsidR="00A839DF" w:rsidRPr="002152AC">
        <w:rPr>
          <w:lang w:val="en-GB"/>
        </w:rPr>
        <w:fldChar w:fldCharType="end"/>
      </w:r>
      <w:r w:rsidR="00A839DF" w:rsidRPr="002152AC">
        <w:rPr>
          <w:lang w:val="en-GB"/>
        </w:rPr>
        <w:t xml:space="preserve">. </w:t>
      </w:r>
      <w:r w:rsidR="00D23365" w:rsidRPr="002152AC">
        <w:rPr>
          <w:lang w:val="en-GB"/>
        </w:rPr>
        <w:t xml:space="preserve">Among these, metal oxide semiconductor (MOS) gas sensors stand out. </w:t>
      </w:r>
    </w:p>
    <w:p w14:paraId="006ACABB" w14:textId="1BF01ABD" w:rsidR="00D23365" w:rsidRPr="002152AC" w:rsidRDefault="00D23365" w:rsidP="00C74A20">
      <w:pPr>
        <w:pStyle w:val="CETBodytext"/>
        <w:rPr>
          <w:lang w:val="en-GB"/>
        </w:rPr>
      </w:pPr>
    </w:p>
    <w:p w14:paraId="2D15313B" w14:textId="34CA7E79" w:rsidR="00A97528" w:rsidRPr="002152AC" w:rsidRDefault="00A97528" w:rsidP="00600535">
      <w:pPr>
        <w:pStyle w:val="CETBodytext"/>
        <w:rPr>
          <w:lang w:val="en-GB"/>
        </w:rPr>
      </w:pPr>
      <w:r w:rsidRPr="002152AC">
        <w:rPr>
          <w:lang w:val="en-GB"/>
        </w:rPr>
        <w:t>In this paper, we present a novel low-cost sensor platform that integrates five commercial metal oxide semiconductor (MOS) gas sensors and an optical particle counter</w:t>
      </w:r>
      <w:r w:rsidR="00A6161A" w:rsidRPr="002152AC">
        <w:rPr>
          <w:lang w:val="en-GB"/>
        </w:rPr>
        <w:t xml:space="preserve">. </w:t>
      </w:r>
      <w:r w:rsidR="00A43605" w:rsidRPr="002152AC">
        <w:rPr>
          <w:lang w:val="en-GB"/>
        </w:rPr>
        <w:t xml:space="preserve">Ours is a </w:t>
      </w:r>
      <w:proofErr w:type="gramStart"/>
      <w:r w:rsidR="00A43605" w:rsidRPr="002152AC">
        <w:rPr>
          <w:lang w:val="en-GB"/>
        </w:rPr>
        <w:t>fully-custom</w:t>
      </w:r>
      <w:proofErr w:type="gramEnd"/>
      <w:r w:rsidR="00A43605" w:rsidRPr="002152AC">
        <w:rPr>
          <w:lang w:val="en-GB"/>
        </w:rPr>
        <w:t xml:space="preserve"> designed embedded system, which does not rely on modularity, or Arduino boards. Other related works reported in the literature also make use of BLE and smartphones for environmental monitoring in wearable applications </w:t>
      </w:r>
      <w:r w:rsidR="0033447D" w:rsidRPr="002152AC">
        <w:rPr>
          <w:lang w:val="en-GB"/>
        </w:rPr>
        <w:fldChar w:fldCharType="begin" w:fldLock="1"/>
      </w:r>
      <w:r w:rsidR="00DD7BCE" w:rsidRPr="002152AC">
        <w:rPr>
          <w:lang w:val="en-GB"/>
        </w:rPr>
        <w:instrText>ADDIN CSL_CITATION {"citationItems":[{"id":"ITEM-1","itemData":{"DOI":"10.1109/TBCAS.2018.2840347","ISSN":"19324545","PMID":"30010589","abstract":"A novel hardware approach with four physical layers and several integrated and add-on sensors for a comprehensive physical and chemical environmental parameter (toxic gases, sound level, air pressure, humidity, temperature, and motion tracking) monitoring is introduced in this paper. To provide flexibility, the system is modular and each sensor functions independently. The whole solution is small, compact, light, and wrist worn. It is working in low power consumption mode and operates for several hours. The device has two layers to implement the sensors and one layer for a warning system driver to enable the vibrating motor and beeper in emergency status. The forth layer is the hardware flex interface that is connected to the display and sound module and provides the possibility of the hardware extension for further development. The gas sensor node includes the sensor attached to the driver (located at the top) and is replaceable with other target gas sensors from the same family. The warning system is located at the bottom of the proposed device. The sampled data from the sensors are monitored in real time via the display and are sent to an Android smartphone for permanent storage via Bluetooth Low Energy(BLE) 4.1. Consequently, these data will be directed to a cloud for further medical analyses. Power consumption, results, device efficiency, and packet protocol justification are evaluated in this paper.","author":[{"dropping-particle":"","family":"Haghi","given":"Mostafa","non-dropping-particle":"","parse-names":false,"suffix":""},{"dropping-particle":"","family":"Stoll","given":"Regina","non-dropping-particle":"","parse-names":false,"suffix":""},{"dropping-particle":"","family":"Thurow","given":"Kerstin","non-dropping-particle":"","parse-names":false,"suffix":""}],"container-title":"IEEE Transactions on Biomedical Circuits and Systems","id":"ITEM-1","issue":"5","issued":{"date-parts":[["2018"]]},"page":"1144-1154","title":"A Low-Cost, Standalone, and Multi-Tasking Watch for Personalized Environmental Monitoring","type":"article-journal","volume":"12"},"uris":["http://www.mendeley.com/documents/?uuid=10529a00-ff44-44bb-bc62-76f0fc191e71"]}],"mendeley":{"formattedCitation":"(Haghi et al., 2018)","plainTextFormattedCitation":"(Haghi et al., 2018)","previouslyFormattedCitation":"(Haghi, Stoll, &amp; Thurow, 2018)"},"properties":{"noteIndex":0},"schema":"https://github.com/citation-style-language/schema/raw/master/csl-citation.json"}</w:instrText>
      </w:r>
      <w:r w:rsidR="0033447D" w:rsidRPr="002152AC">
        <w:rPr>
          <w:lang w:val="en-GB"/>
        </w:rPr>
        <w:fldChar w:fldCharType="separate"/>
      </w:r>
      <w:r w:rsidR="00DD7BCE" w:rsidRPr="002152AC">
        <w:rPr>
          <w:noProof/>
          <w:lang w:val="en-GB"/>
        </w:rPr>
        <w:t>(Haghi et al., 2018)</w:t>
      </w:r>
      <w:r w:rsidR="0033447D" w:rsidRPr="002152AC">
        <w:rPr>
          <w:lang w:val="en-GB"/>
        </w:rPr>
        <w:fldChar w:fldCharType="end"/>
      </w:r>
      <w:r w:rsidR="00A43605" w:rsidRPr="002152AC">
        <w:rPr>
          <w:lang w:val="en-GB"/>
        </w:rPr>
        <w:t xml:space="preserve">. However, these are based in older gas sensing technologies, do not integrate PM sensing capabilities, and their performance was not validated with field testing. Our device sends all collected data to a smartphone through Bluetooth communications, where our own developed application displays an evaluation of the quality of the surrounding </w:t>
      </w:r>
      <w:r w:rsidR="00F120CE" w:rsidRPr="002152AC">
        <w:rPr>
          <w:lang w:val="en-GB"/>
        </w:rPr>
        <w:t>air and</w:t>
      </w:r>
      <w:r w:rsidR="00FE4003" w:rsidRPr="002152AC">
        <w:rPr>
          <w:lang w:val="en-GB"/>
        </w:rPr>
        <w:t xml:space="preserve"> sends it to a cloud service</w:t>
      </w:r>
      <w:r w:rsidR="00A43605" w:rsidRPr="002152AC">
        <w:rPr>
          <w:lang w:val="en-GB"/>
        </w:rPr>
        <w:t>.</w:t>
      </w:r>
    </w:p>
    <w:p w14:paraId="5741900F" w14:textId="4DA3ED37" w:rsidR="00453E24" w:rsidRPr="002152AC" w:rsidRDefault="003A4E21" w:rsidP="00453E24">
      <w:pPr>
        <w:pStyle w:val="CETHeading1"/>
      </w:pPr>
      <w:r w:rsidRPr="002152AC">
        <w:t>Materials and methods</w:t>
      </w:r>
    </w:p>
    <w:p w14:paraId="0636B784" w14:textId="7AE9D828" w:rsidR="00453E24" w:rsidRPr="002152AC" w:rsidRDefault="000A2F3D" w:rsidP="00453E24">
      <w:pPr>
        <w:pStyle w:val="CETheadingx"/>
      </w:pPr>
      <w:r w:rsidRPr="002152AC">
        <w:t>Device overview</w:t>
      </w:r>
    </w:p>
    <w:p w14:paraId="7A23A0BF" w14:textId="1C576D72" w:rsidR="00A22F9B" w:rsidRDefault="009E5202" w:rsidP="00CF512D">
      <w:pPr>
        <w:pStyle w:val="CETBodytext"/>
      </w:pPr>
      <w:r w:rsidRPr="002152AC">
        <w:t xml:space="preserve">The </w:t>
      </w:r>
      <w:r w:rsidR="00602E2B">
        <w:t>portable IOMS</w:t>
      </w:r>
      <w:r w:rsidRPr="002152AC">
        <w:t xml:space="preserve"> presented in this work is comprised of a custom designed printed circuit board (PCB), a 3.7 V lithium-ion battery, a particulate matter (PM) sensor, and a smartphone device. It can function as a sensor node in a wireless sensor network, with the smartphone transmitting across the Internet the collected data, gathered from the five integrated MOS sensors and the PM sensor.</w:t>
      </w:r>
      <w:r w:rsidR="001939DE" w:rsidRPr="002152AC">
        <w:t xml:space="preserve"> The system is based on a 32-bit PIC32MM0256GPM048 microcontroller unit (MCU) from Microchip. This unit coordinates sensors measurements through two I2C serial interfaces and one UART connection, while also managing Bluetooth LE communications thanks to Microchip's RN4871 low-energy module. </w:t>
      </w:r>
    </w:p>
    <w:p w14:paraId="610E6868" w14:textId="00C84E41" w:rsidR="00602E2B" w:rsidRDefault="00602E2B" w:rsidP="00CF512D">
      <w:pPr>
        <w:pStyle w:val="CETBodytext"/>
      </w:pPr>
    </w:p>
    <w:p w14:paraId="05B7AE64" w14:textId="77777777" w:rsidR="00A50FE7" w:rsidRPr="002152AC" w:rsidRDefault="00602E2B" w:rsidP="00A50FE7">
      <w:pPr>
        <w:pStyle w:val="CETBodytext"/>
      </w:pPr>
      <w:r w:rsidRPr="002152AC">
        <w:t xml:space="preserve">The samples are sent </w:t>
      </w:r>
      <w:proofErr w:type="gramStart"/>
      <w:r w:rsidRPr="002152AC">
        <w:t>in order to</w:t>
      </w:r>
      <w:proofErr w:type="gramEnd"/>
      <w:r w:rsidRPr="002152AC">
        <w:t xml:space="preserve"> be processed by the developed smartphone's app, allowing us to check the sampled values in real time and store them in a file for later processing. All components are soldered on the PCB except for the Honeywell HPM particulate matter sensor and the Li</w:t>
      </w:r>
      <w:r w:rsidRPr="002152AC">
        <w:rPr>
          <w:rFonts w:ascii="Cambria Math" w:hAnsi="Cambria Math" w:cs="Cambria Math"/>
        </w:rPr>
        <w:t>‐</w:t>
      </w:r>
      <w:r w:rsidRPr="002152AC">
        <w:t xml:space="preserve">ion battery. The device is battery powered and can easily be recharged through a </w:t>
      </w:r>
      <w:proofErr w:type="spellStart"/>
      <w:r w:rsidRPr="002152AC">
        <w:t>microUSB</w:t>
      </w:r>
      <w:proofErr w:type="spellEnd"/>
      <w:r w:rsidRPr="002152AC">
        <w:t>-B plug. While working, the device draws 290 mA from the battery.</w:t>
      </w:r>
      <w:r w:rsidR="00A50FE7">
        <w:t xml:space="preserve"> </w:t>
      </w:r>
      <w:r w:rsidR="00A50FE7" w:rsidRPr="002152AC">
        <w:t>The five integrated digital MOS commercial gas sensors, portrayed in Table 1, provide several variables each. Besides the raw resistor signal, sensors incorporate algorithms that process raw values and output predictions of equivalent CO</w:t>
      </w:r>
      <w:r w:rsidR="00A50FE7" w:rsidRPr="002152AC">
        <w:rPr>
          <w:vertAlign w:val="subscript"/>
        </w:rPr>
        <w:t>2</w:t>
      </w:r>
      <w:r w:rsidR="00A50FE7" w:rsidRPr="002152AC">
        <w:t xml:space="preserve"> and total VOCs.</w:t>
      </w:r>
    </w:p>
    <w:p w14:paraId="1F6EB961" w14:textId="72A9F6CF" w:rsidR="00602E2B" w:rsidRDefault="00602E2B" w:rsidP="00CF512D">
      <w:pPr>
        <w:pStyle w:val="CETBodytext"/>
      </w:pPr>
    </w:p>
    <w:p w14:paraId="4ED51FD3" w14:textId="06350C2F" w:rsidR="003B5AB4" w:rsidRDefault="00A86FC1" w:rsidP="00CF512D">
      <w:pPr>
        <w:pStyle w:val="CETBodytext"/>
      </w:pPr>
      <w:r>
        <w:rPr>
          <w:noProof/>
        </w:rPr>
        <w:drawing>
          <wp:inline distT="0" distB="0" distL="0" distR="0" wp14:anchorId="4DA596D3" wp14:editId="7F48D890">
            <wp:extent cx="3136265" cy="2216785"/>
            <wp:effectExtent l="0" t="0" r="635" b="5715"/>
            <wp:docPr id="9" name="image2.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Diagrama&#10;&#10;Descripción generada automáticament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265" cy="2216785"/>
                    </a:xfrm>
                    <a:prstGeom prst="rect">
                      <a:avLst/>
                    </a:prstGeom>
                    <a:noFill/>
                    <a:ln>
                      <a:noFill/>
                    </a:ln>
                  </pic:spPr>
                </pic:pic>
              </a:graphicData>
            </a:graphic>
          </wp:inline>
        </w:drawing>
      </w:r>
      <w:r w:rsidR="00A50FE7">
        <w:rPr>
          <w:noProof/>
        </w:rPr>
        <w:drawing>
          <wp:inline distT="0" distB="0" distL="0" distR="0" wp14:anchorId="3C211EE5" wp14:editId="5DAB1D64">
            <wp:extent cx="1888096" cy="2062378"/>
            <wp:effectExtent l="0" t="0" r="4445" b="0"/>
            <wp:docPr id="29" name="Imagen 29" descr="Caja de juguet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aja de juguete&#10;&#10;Descripción generada automáticamente con confianza baja"/>
                    <pic:cNvPicPr/>
                  </pic:nvPicPr>
                  <pic:blipFill rotWithShape="1">
                    <a:blip r:embed="rId12"/>
                    <a:srcRect l="25849" t="6929" r="17795" b="10990"/>
                    <a:stretch/>
                  </pic:blipFill>
                  <pic:spPr bwMode="auto">
                    <a:xfrm>
                      <a:off x="0" y="0"/>
                      <a:ext cx="1917235" cy="2094207"/>
                    </a:xfrm>
                    <a:prstGeom prst="rect">
                      <a:avLst/>
                    </a:prstGeom>
                    <a:ln>
                      <a:noFill/>
                    </a:ln>
                    <a:extLst>
                      <a:ext uri="{53640926-AAD7-44D8-BBD7-CCE9431645EC}">
                        <a14:shadowObscured xmlns:a14="http://schemas.microsoft.com/office/drawing/2010/main"/>
                      </a:ext>
                    </a:extLst>
                  </pic:spPr>
                </pic:pic>
              </a:graphicData>
            </a:graphic>
          </wp:inline>
        </w:drawing>
      </w:r>
    </w:p>
    <w:p w14:paraId="3605F0D7" w14:textId="4877AE58" w:rsidR="0001716B" w:rsidRPr="002152AC" w:rsidRDefault="00A22F9B" w:rsidP="00A50FE7">
      <w:pPr>
        <w:pStyle w:val="CETCaption"/>
      </w:pPr>
      <w:r w:rsidRPr="002152AC">
        <w:rPr>
          <w:rStyle w:val="CETCaptionCarattere"/>
          <w:i/>
        </w:rPr>
        <w:t xml:space="preserve">Figure 1: </w:t>
      </w:r>
      <w:r w:rsidR="007F0BD0">
        <w:rPr>
          <w:rStyle w:val="CETCaptionCarattere"/>
          <w:i/>
        </w:rPr>
        <w:t xml:space="preserve">Block diagram (left) and </w:t>
      </w:r>
      <w:r w:rsidR="00A50FE7" w:rsidRPr="002152AC">
        <w:rPr>
          <w:rStyle w:val="CETCaptionCarattere"/>
          <w:i/>
        </w:rPr>
        <w:t>device embedded in a 3D-printed case</w:t>
      </w:r>
      <w:r w:rsidR="00A50FE7">
        <w:rPr>
          <w:rStyle w:val="CETCaptionCarattere"/>
          <w:i/>
        </w:rPr>
        <w:t xml:space="preserve"> </w:t>
      </w:r>
      <w:r w:rsidR="007F0BD0">
        <w:rPr>
          <w:rStyle w:val="CETCaptionCarattere"/>
          <w:i/>
        </w:rPr>
        <w:t>(right)</w:t>
      </w:r>
      <w:r>
        <w:rPr>
          <w:rStyle w:val="CETCaptionCarattere"/>
          <w:i/>
        </w:rPr>
        <w:t xml:space="preserve"> of the prototype of portable IOMS</w:t>
      </w:r>
      <w:r w:rsidRPr="002152AC">
        <w:rPr>
          <w:rStyle w:val="CETCaptionCarattere"/>
          <w:i/>
        </w:rPr>
        <w:t>.</w:t>
      </w:r>
      <w:r w:rsidRPr="002152AC">
        <w:t xml:space="preserve"> </w:t>
      </w:r>
    </w:p>
    <w:p w14:paraId="5EC54FD9" w14:textId="13CD9CE9" w:rsidR="00981B14" w:rsidRPr="002152AC" w:rsidRDefault="00981B14" w:rsidP="00981B14">
      <w:pPr>
        <w:pStyle w:val="CETTabletitle"/>
      </w:pPr>
      <w:r w:rsidRPr="002152AC">
        <w:t>Table 1: Characteristics of the device’s sensors</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701"/>
        <w:gridCol w:w="1418"/>
        <w:gridCol w:w="2410"/>
      </w:tblGrid>
      <w:tr w:rsidR="00B3621A" w:rsidRPr="002152AC" w14:paraId="41A5E425" w14:textId="77777777" w:rsidTr="00B3621A">
        <w:tc>
          <w:tcPr>
            <w:tcW w:w="1701" w:type="dxa"/>
            <w:tcBorders>
              <w:top w:val="single" w:sz="12" w:space="0" w:color="008000"/>
              <w:bottom w:val="single" w:sz="6" w:space="0" w:color="008000"/>
            </w:tcBorders>
            <w:shd w:val="clear" w:color="auto" w:fill="FFFFFF"/>
          </w:tcPr>
          <w:p w14:paraId="529511BF" w14:textId="3752A778" w:rsidR="00B3621A" w:rsidRPr="002152AC" w:rsidRDefault="00B3621A" w:rsidP="007B6FC5">
            <w:pPr>
              <w:pStyle w:val="CETBodytext"/>
              <w:rPr>
                <w:lang w:val="en-GB"/>
              </w:rPr>
            </w:pPr>
            <w:r w:rsidRPr="002152AC">
              <w:rPr>
                <w:lang w:val="en-GB"/>
              </w:rPr>
              <w:t xml:space="preserve">Sensor </w:t>
            </w:r>
          </w:p>
        </w:tc>
        <w:tc>
          <w:tcPr>
            <w:tcW w:w="1418" w:type="dxa"/>
            <w:tcBorders>
              <w:top w:val="single" w:sz="12" w:space="0" w:color="008000"/>
              <w:bottom w:val="single" w:sz="6" w:space="0" w:color="008000"/>
            </w:tcBorders>
            <w:shd w:val="clear" w:color="auto" w:fill="FFFFFF"/>
          </w:tcPr>
          <w:p w14:paraId="3BD6A507" w14:textId="242300AA" w:rsidR="00B3621A" w:rsidRPr="002152AC" w:rsidRDefault="00B3621A" w:rsidP="007B6FC5">
            <w:pPr>
              <w:pStyle w:val="CETBodytext"/>
              <w:rPr>
                <w:lang w:val="en-GB"/>
              </w:rPr>
            </w:pPr>
            <w:r w:rsidRPr="002152AC">
              <w:rPr>
                <w:lang w:val="en-GB"/>
              </w:rPr>
              <w:t>Manufacturer</w:t>
            </w:r>
          </w:p>
        </w:tc>
        <w:tc>
          <w:tcPr>
            <w:tcW w:w="2410" w:type="dxa"/>
            <w:tcBorders>
              <w:top w:val="single" w:sz="12" w:space="0" w:color="008000"/>
              <w:bottom w:val="single" w:sz="6" w:space="0" w:color="008000"/>
            </w:tcBorders>
            <w:shd w:val="clear" w:color="auto" w:fill="FFFFFF"/>
          </w:tcPr>
          <w:p w14:paraId="3485D2D0" w14:textId="6380BC15" w:rsidR="00B3621A" w:rsidRPr="002152AC" w:rsidRDefault="00B3621A" w:rsidP="007B6FC5">
            <w:pPr>
              <w:pStyle w:val="CETBodytext"/>
              <w:rPr>
                <w:lang w:val="en-GB"/>
              </w:rPr>
            </w:pPr>
            <w:r w:rsidRPr="002152AC">
              <w:rPr>
                <w:lang w:val="en-GB"/>
              </w:rPr>
              <w:t>Signals</w:t>
            </w:r>
          </w:p>
        </w:tc>
      </w:tr>
      <w:tr w:rsidR="00B3621A" w:rsidRPr="002152AC" w14:paraId="49738BE3" w14:textId="77777777" w:rsidTr="00B3621A">
        <w:tc>
          <w:tcPr>
            <w:tcW w:w="1701" w:type="dxa"/>
            <w:shd w:val="clear" w:color="auto" w:fill="FFFFFF"/>
          </w:tcPr>
          <w:p w14:paraId="426A02F2" w14:textId="7E5F3C21" w:rsidR="00B3621A" w:rsidRPr="002152AC" w:rsidRDefault="00B3621A" w:rsidP="007B6FC5">
            <w:pPr>
              <w:pStyle w:val="CETBodytext"/>
              <w:rPr>
                <w:lang w:val="en-GB"/>
              </w:rPr>
            </w:pPr>
            <w:r w:rsidRPr="002152AC">
              <w:rPr>
                <w:lang w:val="en-GB"/>
              </w:rPr>
              <w:t>CCS811</w:t>
            </w:r>
          </w:p>
        </w:tc>
        <w:tc>
          <w:tcPr>
            <w:tcW w:w="1418" w:type="dxa"/>
            <w:shd w:val="clear" w:color="auto" w:fill="FFFFFF"/>
          </w:tcPr>
          <w:p w14:paraId="77FFD02F" w14:textId="64C3AB0D" w:rsidR="00B3621A" w:rsidRPr="002152AC" w:rsidRDefault="00B3621A" w:rsidP="007B6FC5">
            <w:pPr>
              <w:pStyle w:val="CETBodytext"/>
              <w:rPr>
                <w:lang w:val="en-GB"/>
              </w:rPr>
            </w:pPr>
            <w:proofErr w:type="spellStart"/>
            <w:r w:rsidRPr="002152AC">
              <w:rPr>
                <w:lang w:val="en-GB"/>
              </w:rPr>
              <w:t>ScioSense</w:t>
            </w:r>
            <w:proofErr w:type="spellEnd"/>
          </w:p>
        </w:tc>
        <w:tc>
          <w:tcPr>
            <w:tcW w:w="2410" w:type="dxa"/>
            <w:shd w:val="clear" w:color="auto" w:fill="FFFFFF"/>
          </w:tcPr>
          <w:p w14:paraId="2BE285D9" w14:textId="4C194DE3" w:rsidR="00B3621A" w:rsidRPr="002152AC" w:rsidRDefault="00B3621A" w:rsidP="007B6FC5">
            <w:pPr>
              <w:pStyle w:val="CETBodytext"/>
              <w:rPr>
                <w:lang w:val="en-GB"/>
              </w:rPr>
            </w:pPr>
            <w:r w:rsidRPr="002152AC">
              <w:rPr>
                <w:lang w:val="en-GB"/>
              </w:rPr>
              <w:t>eCO</w:t>
            </w:r>
            <w:r w:rsidRPr="002152AC">
              <w:rPr>
                <w:vertAlign w:val="subscript"/>
                <w:lang w:val="en-GB"/>
              </w:rPr>
              <w:t>2</w:t>
            </w:r>
            <w:r w:rsidRPr="002152AC">
              <w:rPr>
                <w:lang w:val="en-GB"/>
              </w:rPr>
              <w:t>, TVOC, Resistance</w:t>
            </w:r>
          </w:p>
        </w:tc>
      </w:tr>
      <w:tr w:rsidR="00B3621A" w:rsidRPr="002152AC" w14:paraId="1B7E6383" w14:textId="77777777" w:rsidTr="00B3621A">
        <w:tc>
          <w:tcPr>
            <w:tcW w:w="1701" w:type="dxa"/>
            <w:shd w:val="clear" w:color="auto" w:fill="FFFFFF"/>
          </w:tcPr>
          <w:p w14:paraId="770128A0" w14:textId="263FAA55" w:rsidR="00B3621A" w:rsidRPr="002152AC" w:rsidRDefault="00B3621A" w:rsidP="007B6FC5">
            <w:pPr>
              <w:pStyle w:val="CETBodytext"/>
              <w:rPr>
                <w:lang w:val="en-GB"/>
              </w:rPr>
            </w:pPr>
            <w:proofErr w:type="spellStart"/>
            <w:r w:rsidRPr="002152AC">
              <w:rPr>
                <w:lang w:val="en-GB"/>
              </w:rPr>
              <w:t>iAQ</w:t>
            </w:r>
            <w:proofErr w:type="spellEnd"/>
            <w:r w:rsidRPr="002152AC">
              <w:rPr>
                <w:lang w:val="en-GB"/>
              </w:rPr>
              <w:t>-Core</w:t>
            </w:r>
          </w:p>
        </w:tc>
        <w:tc>
          <w:tcPr>
            <w:tcW w:w="1418" w:type="dxa"/>
            <w:shd w:val="clear" w:color="auto" w:fill="FFFFFF"/>
          </w:tcPr>
          <w:p w14:paraId="028087CD" w14:textId="5A819B42" w:rsidR="00B3621A" w:rsidRPr="002152AC" w:rsidRDefault="00B3621A" w:rsidP="007B6FC5">
            <w:pPr>
              <w:pStyle w:val="CETBodytext"/>
              <w:rPr>
                <w:lang w:val="en-GB"/>
              </w:rPr>
            </w:pPr>
            <w:proofErr w:type="spellStart"/>
            <w:r w:rsidRPr="002152AC">
              <w:rPr>
                <w:lang w:val="en-GB"/>
              </w:rPr>
              <w:t>ScioSense</w:t>
            </w:r>
            <w:proofErr w:type="spellEnd"/>
          </w:p>
        </w:tc>
        <w:tc>
          <w:tcPr>
            <w:tcW w:w="2410" w:type="dxa"/>
            <w:shd w:val="clear" w:color="auto" w:fill="FFFFFF"/>
          </w:tcPr>
          <w:p w14:paraId="17E678C0" w14:textId="01CDD68F" w:rsidR="00B3621A" w:rsidRPr="002152AC" w:rsidRDefault="00B3621A" w:rsidP="007B6FC5">
            <w:pPr>
              <w:pStyle w:val="CETBodytext"/>
              <w:rPr>
                <w:lang w:val="en-GB"/>
              </w:rPr>
            </w:pPr>
            <w:r w:rsidRPr="002152AC">
              <w:rPr>
                <w:lang w:val="en-GB"/>
              </w:rPr>
              <w:t>eCO</w:t>
            </w:r>
            <w:r w:rsidRPr="002152AC">
              <w:rPr>
                <w:vertAlign w:val="subscript"/>
                <w:lang w:val="en-GB"/>
              </w:rPr>
              <w:t>2</w:t>
            </w:r>
            <w:r w:rsidRPr="002152AC">
              <w:rPr>
                <w:lang w:val="en-GB"/>
              </w:rPr>
              <w:t>, TVOC, Resistance</w:t>
            </w:r>
          </w:p>
        </w:tc>
      </w:tr>
      <w:tr w:rsidR="00B3621A" w:rsidRPr="002152AC" w14:paraId="6146EE3A" w14:textId="77777777" w:rsidTr="00B3621A">
        <w:tc>
          <w:tcPr>
            <w:tcW w:w="1701" w:type="dxa"/>
            <w:shd w:val="clear" w:color="auto" w:fill="FFFFFF"/>
          </w:tcPr>
          <w:p w14:paraId="421E3BC3" w14:textId="4CCC8173" w:rsidR="00B3621A" w:rsidRPr="002152AC" w:rsidRDefault="00B3621A" w:rsidP="007B6FC5">
            <w:pPr>
              <w:pStyle w:val="CETBodytext"/>
              <w:rPr>
                <w:lang w:val="en-GB"/>
              </w:rPr>
            </w:pPr>
            <w:r w:rsidRPr="002152AC">
              <w:rPr>
                <w:lang w:val="en-GB"/>
              </w:rPr>
              <w:t>BME680</w:t>
            </w:r>
          </w:p>
        </w:tc>
        <w:tc>
          <w:tcPr>
            <w:tcW w:w="1418" w:type="dxa"/>
            <w:shd w:val="clear" w:color="auto" w:fill="FFFFFF"/>
          </w:tcPr>
          <w:p w14:paraId="1CE770BF" w14:textId="0586FCF0" w:rsidR="00B3621A" w:rsidRPr="002152AC" w:rsidRDefault="00B3621A" w:rsidP="007B6FC5">
            <w:pPr>
              <w:pStyle w:val="CETBodytext"/>
              <w:rPr>
                <w:lang w:val="en-GB"/>
              </w:rPr>
            </w:pPr>
            <w:r w:rsidRPr="002152AC">
              <w:rPr>
                <w:lang w:val="en-GB"/>
              </w:rPr>
              <w:t>Bosch</w:t>
            </w:r>
          </w:p>
        </w:tc>
        <w:tc>
          <w:tcPr>
            <w:tcW w:w="2410" w:type="dxa"/>
            <w:shd w:val="clear" w:color="auto" w:fill="FFFFFF"/>
          </w:tcPr>
          <w:p w14:paraId="75DD1F1C" w14:textId="2BB6551A" w:rsidR="00B3621A" w:rsidRPr="002152AC" w:rsidRDefault="00B3621A" w:rsidP="007B6FC5">
            <w:pPr>
              <w:pStyle w:val="CETBodytext"/>
              <w:rPr>
                <w:lang w:val="en-GB"/>
              </w:rPr>
            </w:pPr>
            <w:r w:rsidRPr="002152AC">
              <w:rPr>
                <w:lang w:val="en-GB"/>
              </w:rPr>
              <w:t>T, P, RH, Resistance</w:t>
            </w:r>
          </w:p>
        </w:tc>
      </w:tr>
      <w:tr w:rsidR="00B3621A" w:rsidRPr="002152AC" w14:paraId="5942F23F" w14:textId="77777777" w:rsidTr="00B3621A">
        <w:tc>
          <w:tcPr>
            <w:tcW w:w="1701" w:type="dxa"/>
            <w:shd w:val="clear" w:color="auto" w:fill="FFFFFF"/>
          </w:tcPr>
          <w:p w14:paraId="245E1461" w14:textId="34023AB3" w:rsidR="00B3621A" w:rsidRPr="002152AC" w:rsidRDefault="00B3621A" w:rsidP="007B6FC5">
            <w:pPr>
              <w:pStyle w:val="CETBodytext"/>
              <w:rPr>
                <w:lang w:val="en-GB"/>
              </w:rPr>
            </w:pPr>
            <w:r w:rsidRPr="002152AC">
              <w:rPr>
                <w:lang w:val="en-GB"/>
              </w:rPr>
              <w:t>SGP30</w:t>
            </w:r>
          </w:p>
        </w:tc>
        <w:tc>
          <w:tcPr>
            <w:tcW w:w="1418" w:type="dxa"/>
            <w:shd w:val="clear" w:color="auto" w:fill="FFFFFF"/>
          </w:tcPr>
          <w:p w14:paraId="4840940C" w14:textId="0F59E021" w:rsidR="00B3621A" w:rsidRPr="002152AC" w:rsidRDefault="00B3621A" w:rsidP="007B6FC5">
            <w:pPr>
              <w:pStyle w:val="CETBodytext"/>
              <w:rPr>
                <w:lang w:val="en-GB"/>
              </w:rPr>
            </w:pPr>
            <w:proofErr w:type="spellStart"/>
            <w:r w:rsidRPr="002152AC">
              <w:rPr>
                <w:lang w:val="en-GB"/>
              </w:rPr>
              <w:t>Sensirion</w:t>
            </w:r>
            <w:proofErr w:type="spellEnd"/>
          </w:p>
        </w:tc>
        <w:tc>
          <w:tcPr>
            <w:tcW w:w="2410" w:type="dxa"/>
            <w:shd w:val="clear" w:color="auto" w:fill="FFFFFF"/>
          </w:tcPr>
          <w:p w14:paraId="707C5CC9" w14:textId="1108A594" w:rsidR="00B3621A" w:rsidRPr="002152AC" w:rsidRDefault="00B3621A" w:rsidP="007B6FC5">
            <w:pPr>
              <w:pStyle w:val="CETBodytext"/>
              <w:rPr>
                <w:lang w:val="en-GB"/>
              </w:rPr>
            </w:pPr>
            <w:r w:rsidRPr="002152AC">
              <w:rPr>
                <w:lang w:val="en-GB"/>
              </w:rPr>
              <w:t>eCO</w:t>
            </w:r>
            <w:r w:rsidRPr="002152AC">
              <w:rPr>
                <w:vertAlign w:val="subscript"/>
                <w:lang w:val="en-GB"/>
              </w:rPr>
              <w:t>2</w:t>
            </w:r>
            <w:r w:rsidRPr="002152AC">
              <w:rPr>
                <w:lang w:val="en-GB"/>
              </w:rPr>
              <w:t>, TVOC, H</w:t>
            </w:r>
            <w:r w:rsidRPr="002152AC">
              <w:rPr>
                <w:vertAlign w:val="subscript"/>
                <w:lang w:val="en-GB"/>
              </w:rPr>
              <w:t>2</w:t>
            </w:r>
            <w:r w:rsidRPr="002152AC">
              <w:rPr>
                <w:lang w:val="en-GB"/>
              </w:rPr>
              <w:t>, EtOH</w:t>
            </w:r>
          </w:p>
        </w:tc>
      </w:tr>
      <w:tr w:rsidR="00B3621A" w:rsidRPr="002152AC" w14:paraId="5CB0F6AD" w14:textId="77777777" w:rsidTr="00B3621A">
        <w:tc>
          <w:tcPr>
            <w:tcW w:w="1701" w:type="dxa"/>
            <w:shd w:val="clear" w:color="auto" w:fill="FFFFFF"/>
          </w:tcPr>
          <w:p w14:paraId="142E4233" w14:textId="5ED94305" w:rsidR="00B3621A" w:rsidRPr="002152AC" w:rsidRDefault="00B3621A" w:rsidP="007B6FC5">
            <w:pPr>
              <w:pStyle w:val="CETBodytext"/>
              <w:rPr>
                <w:lang w:val="en-GB"/>
              </w:rPr>
            </w:pPr>
            <w:r w:rsidRPr="002152AC">
              <w:rPr>
                <w:lang w:val="en-GB"/>
              </w:rPr>
              <w:t>ZMOD4410</w:t>
            </w:r>
          </w:p>
        </w:tc>
        <w:tc>
          <w:tcPr>
            <w:tcW w:w="1418" w:type="dxa"/>
            <w:shd w:val="clear" w:color="auto" w:fill="FFFFFF"/>
          </w:tcPr>
          <w:p w14:paraId="4DAE6170" w14:textId="576AFD52" w:rsidR="00B3621A" w:rsidRPr="002152AC" w:rsidRDefault="00B3621A" w:rsidP="007B6FC5">
            <w:pPr>
              <w:pStyle w:val="CETBodytext"/>
              <w:rPr>
                <w:lang w:val="en-GB"/>
              </w:rPr>
            </w:pPr>
            <w:r w:rsidRPr="002152AC">
              <w:rPr>
                <w:lang w:val="en-GB"/>
              </w:rPr>
              <w:t>Renesas</w:t>
            </w:r>
          </w:p>
        </w:tc>
        <w:tc>
          <w:tcPr>
            <w:tcW w:w="2410" w:type="dxa"/>
            <w:shd w:val="clear" w:color="auto" w:fill="FFFFFF"/>
          </w:tcPr>
          <w:p w14:paraId="35DCE765" w14:textId="2E896DDB" w:rsidR="00B3621A" w:rsidRPr="002152AC" w:rsidRDefault="00B3621A" w:rsidP="007B6FC5">
            <w:pPr>
              <w:pStyle w:val="CETBodytext"/>
              <w:rPr>
                <w:lang w:val="en-GB"/>
              </w:rPr>
            </w:pPr>
            <w:r w:rsidRPr="002152AC">
              <w:rPr>
                <w:lang w:val="en-GB"/>
              </w:rPr>
              <w:t>eCO</w:t>
            </w:r>
            <w:r w:rsidRPr="002152AC">
              <w:rPr>
                <w:vertAlign w:val="subscript"/>
                <w:lang w:val="en-GB"/>
              </w:rPr>
              <w:t>2</w:t>
            </w:r>
            <w:r w:rsidRPr="002152AC">
              <w:rPr>
                <w:lang w:val="en-GB"/>
              </w:rPr>
              <w:t xml:space="preserve">, TVOC, </w:t>
            </w:r>
            <w:proofErr w:type="spellStart"/>
            <w:r w:rsidRPr="002152AC">
              <w:rPr>
                <w:lang w:val="en-GB"/>
              </w:rPr>
              <w:t>iAQ</w:t>
            </w:r>
            <w:proofErr w:type="spellEnd"/>
            <w:r w:rsidRPr="002152AC">
              <w:rPr>
                <w:lang w:val="en-GB"/>
              </w:rPr>
              <w:t>, Resistance</w:t>
            </w:r>
          </w:p>
        </w:tc>
      </w:tr>
      <w:tr w:rsidR="00B3621A" w:rsidRPr="002152AC" w14:paraId="1A0CFFD3" w14:textId="77777777" w:rsidTr="00B3621A">
        <w:tc>
          <w:tcPr>
            <w:tcW w:w="1701" w:type="dxa"/>
            <w:shd w:val="clear" w:color="auto" w:fill="FFFFFF"/>
          </w:tcPr>
          <w:p w14:paraId="0BF43267" w14:textId="72583884" w:rsidR="00B3621A" w:rsidRPr="002152AC" w:rsidRDefault="00B3621A" w:rsidP="007B6FC5">
            <w:pPr>
              <w:pStyle w:val="CETBodytext"/>
              <w:ind w:right="-1"/>
              <w:rPr>
                <w:rFonts w:cs="Arial"/>
                <w:szCs w:val="18"/>
                <w:lang w:val="en-GB"/>
              </w:rPr>
            </w:pPr>
            <w:r w:rsidRPr="002152AC">
              <w:rPr>
                <w:rFonts w:cs="Arial"/>
                <w:szCs w:val="18"/>
                <w:lang w:val="en-GB"/>
              </w:rPr>
              <w:t>HPMA115S0-XXX</w:t>
            </w:r>
          </w:p>
        </w:tc>
        <w:tc>
          <w:tcPr>
            <w:tcW w:w="1418" w:type="dxa"/>
            <w:shd w:val="clear" w:color="auto" w:fill="FFFFFF"/>
          </w:tcPr>
          <w:p w14:paraId="323E4DF2" w14:textId="2AEF1E4A" w:rsidR="00B3621A" w:rsidRPr="002152AC" w:rsidRDefault="00B3621A" w:rsidP="007B6FC5">
            <w:pPr>
              <w:pStyle w:val="CETBodytext"/>
              <w:ind w:right="-1"/>
              <w:rPr>
                <w:rFonts w:cs="Arial"/>
                <w:szCs w:val="18"/>
                <w:lang w:val="en-GB"/>
              </w:rPr>
            </w:pPr>
            <w:r w:rsidRPr="002152AC">
              <w:rPr>
                <w:rFonts w:cs="Arial"/>
                <w:szCs w:val="18"/>
                <w:lang w:val="en-GB"/>
              </w:rPr>
              <w:t>Honeywell</w:t>
            </w:r>
          </w:p>
        </w:tc>
        <w:tc>
          <w:tcPr>
            <w:tcW w:w="2410" w:type="dxa"/>
            <w:shd w:val="clear" w:color="auto" w:fill="FFFFFF"/>
          </w:tcPr>
          <w:p w14:paraId="1B40FD0E" w14:textId="4AE2C9BD" w:rsidR="00B3621A" w:rsidRPr="002152AC" w:rsidRDefault="00B3621A" w:rsidP="007B6FC5">
            <w:pPr>
              <w:pStyle w:val="CETBodytext"/>
              <w:ind w:right="-1"/>
              <w:rPr>
                <w:rFonts w:cs="Arial"/>
                <w:szCs w:val="18"/>
                <w:lang w:val="en-GB"/>
              </w:rPr>
            </w:pPr>
            <w:r w:rsidRPr="002152AC">
              <w:rPr>
                <w:rFonts w:cs="Arial"/>
                <w:szCs w:val="18"/>
                <w:lang w:val="en-GB"/>
              </w:rPr>
              <w:t>PM</w:t>
            </w:r>
            <w:r w:rsidRPr="002152AC">
              <w:rPr>
                <w:rFonts w:cs="Arial"/>
                <w:szCs w:val="18"/>
                <w:vertAlign w:val="subscript"/>
                <w:lang w:val="en-GB"/>
              </w:rPr>
              <w:t>2.5</w:t>
            </w:r>
            <w:r w:rsidRPr="002152AC">
              <w:rPr>
                <w:rFonts w:cs="Arial"/>
                <w:szCs w:val="18"/>
                <w:lang w:val="en-GB"/>
              </w:rPr>
              <w:t>, PM</w:t>
            </w:r>
            <w:r w:rsidRPr="002152AC">
              <w:rPr>
                <w:rFonts w:cs="Arial"/>
                <w:szCs w:val="18"/>
                <w:vertAlign w:val="subscript"/>
                <w:lang w:val="en-GB"/>
              </w:rPr>
              <w:t>10</w:t>
            </w:r>
          </w:p>
        </w:tc>
      </w:tr>
    </w:tbl>
    <w:p w14:paraId="703A1059" w14:textId="77777777" w:rsidR="00B3621A" w:rsidRPr="002152AC" w:rsidRDefault="00B3621A" w:rsidP="00B3621A">
      <w:pPr>
        <w:pStyle w:val="CETheadingx"/>
      </w:pPr>
      <w:r w:rsidRPr="002152AC">
        <w:t>App overview</w:t>
      </w:r>
    </w:p>
    <w:p w14:paraId="7E921094" w14:textId="6EBAC57F" w:rsidR="00B3621A" w:rsidRPr="002152AC" w:rsidRDefault="00B3621A" w:rsidP="00B3621A">
      <w:pPr>
        <w:pStyle w:val="CETBodytext"/>
      </w:pPr>
      <w:r w:rsidRPr="002152AC">
        <w:t xml:space="preserve">The mobile application, named </w:t>
      </w:r>
      <w:proofErr w:type="spellStart"/>
      <w:r w:rsidRPr="002152AC">
        <w:t>aQtracer</w:t>
      </w:r>
      <w:proofErr w:type="spellEnd"/>
      <w:r>
        <w:t xml:space="preserve"> (Fig</w:t>
      </w:r>
      <w:r w:rsidR="006A3DED">
        <w:t>ure</w:t>
      </w:r>
      <w:r>
        <w:t xml:space="preserve"> </w:t>
      </w:r>
      <w:r w:rsidR="008D5AB4">
        <w:t>2</w:t>
      </w:r>
      <w:r>
        <w:t>)</w:t>
      </w:r>
      <w:r w:rsidRPr="002152AC">
        <w:t xml:space="preserve">, was developed for Android devices and implemented in Dart using the Flutter framework. </w:t>
      </w:r>
      <w:r w:rsidRPr="00193412">
        <w:t>The simple interface is intuitive, as it is destined for users.</w:t>
      </w:r>
      <w:r>
        <w:t xml:space="preserve"> </w:t>
      </w:r>
      <w:r w:rsidRPr="002152AC">
        <w:t xml:space="preserve">First, once the characteristic has been selected, the application sends a programmed command from our ASCII communication protocol and starts listening to the measurements data packages. The whole data set sent by the IOMS, along with the smartphone's GPS latitude and longitude parameters are sent in real time to the cloud </w:t>
      </w:r>
      <w:proofErr w:type="gramStart"/>
      <w:r w:rsidRPr="002152AC">
        <w:t>in order to</w:t>
      </w:r>
      <w:proofErr w:type="gramEnd"/>
      <w:r w:rsidRPr="002152AC">
        <w:t xml:space="preserve"> be stored and viewed.</w:t>
      </w:r>
      <w:r>
        <w:t xml:space="preserve"> </w:t>
      </w:r>
      <w:r w:rsidRPr="002152AC">
        <w:t>At the same time, two values are displayed on the screen in real time: an air quality value (</w:t>
      </w:r>
      <w:proofErr w:type="spellStart"/>
      <w:r w:rsidRPr="002152AC">
        <w:t>iAQ</w:t>
      </w:r>
      <w:proofErr w:type="spellEnd"/>
      <w:r w:rsidRPr="002152AC">
        <w:t xml:space="preserve">) from the ZMOD4410 gas sensor and a PM measure from the HPM sensor. These two values serve as guidelines for the users, indicating the overall quality of their surrounding air. The </w:t>
      </w:r>
      <w:proofErr w:type="spellStart"/>
      <w:r w:rsidRPr="002152AC">
        <w:t>iAQ</w:t>
      </w:r>
      <w:proofErr w:type="spellEnd"/>
      <w:r w:rsidRPr="002152AC">
        <w:t xml:space="preserve"> signal, which is calculated and outputted by the ZMOD4410, should not be mistaken with the more robust air quality index (AQI) that we use later </w:t>
      </w:r>
      <w:proofErr w:type="gramStart"/>
      <w:r w:rsidRPr="002152AC">
        <w:t>on</w:t>
      </w:r>
      <w:proofErr w:type="gramEnd"/>
      <w:r w:rsidRPr="002152AC">
        <w:t xml:space="preserve"> and which is calculated by machine learning algorithms. The values are represented in graphs with a color palette and accompanied by clear health advise.</w:t>
      </w:r>
    </w:p>
    <w:p w14:paraId="4A197846" w14:textId="4E27F051" w:rsidR="003149A9" w:rsidRPr="002152AC" w:rsidRDefault="003149A9" w:rsidP="005641DA">
      <w:pPr>
        <w:pStyle w:val="CETBodytext"/>
      </w:pPr>
    </w:p>
    <w:p w14:paraId="6D3B39ED" w14:textId="241DE1AB" w:rsidR="003149A9" w:rsidRPr="002152AC" w:rsidRDefault="003149A9" w:rsidP="009A0A0E">
      <w:pPr>
        <w:pStyle w:val="CETBodytext"/>
        <w:jc w:val="center"/>
      </w:pPr>
      <w:r w:rsidRPr="002152AC">
        <w:rPr>
          <w:noProof/>
        </w:rPr>
        <w:drawing>
          <wp:inline distT="0" distB="0" distL="0" distR="0" wp14:anchorId="60221011" wp14:editId="47BB57E8">
            <wp:extent cx="2653991" cy="2516391"/>
            <wp:effectExtent l="0" t="0" r="635" b="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t="4777" b="5076"/>
                    <a:stretch/>
                  </pic:blipFill>
                  <pic:spPr bwMode="auto">
                    <a:xfrm>
                      <a:off x="0" y="0"/>
                      <a:ext cx="2767038" cy="2623577"/>
                    </a:xfrm>
                    <a:prstGeom prst="rect">
                      <a:avLst/>
                    </a:prstGeom>
                    <a:noFill/>
                    <a:ln>
                      <a:noFill/>
                    </a:ln>
                    <a:extLst>
                      <a:ext uri="{53640926-AAD7-44D8-BBD7-CCE9431645EC}">
                        <a14:shadowObscured xmlns:a14="http://schemas.microsoft.com/office/drawing/2010/main"/>
                      </a:ext>
                    </a:extLst>
                  </pic:spPr>
                </pic:pic>
              </a:graphicData>
            </a:graphic>
          </wp:inline>
        </w:drawing>
      </w:r>
    </w:p>
    <w:p w14:paraId="66150E5A" w14:textId="22812A24" w:rsidR="000A2F3D" w:rsidRPr="002152AC" w:rsidRDefault="00765A1C" w:rsidP="003C5F85">
      <w:pPr>
        <w:pStyle w:val="CETCaption"/>
      </w:pPr>
      <w:r w:rsidRPr="002152AC">
        <w:rPr>
          <w:rStyle w:val="CETCaptionCarattere"/>
          <w:i/>
        </w:rPr>
        <w:t xml:space="preserve">Figure </w:t>
      </w:r>
      <w:r w:rsidR="008D5AB4">
        <w:rPr>
          <w:rStyle w:val="CETCaptionCarattere"/>
          <w:i/>
        </w:rPr>
        <w:t>2</w:t>
      </w:r>
      <w:r w:rsidRPr="002152AC">
        <w:rPr>
          <w:rStyle w:val="CETCaptionCarattere"/>
          <w:i/>
        </w:rPr>
        <w:t xml:space="preserve">: </w:t>
      </w:r>
      <w:r w:rsidR="003F12EA" w:rsidRPr="002152AC">
        <w:rPr>
          <w:rStyle w:val="CETCaptionCarattere"/>
          <w:i/>
        </w:rPr>
        <w:t xml:space="preserve">Screen capture of the </w:t>
      </w:r>
      <w:r w:rsidR="00D607EB">
        <w:rPr>
          <w:rStyle w:val="CETCaptionCarattere"/>
          <w:i/>
        </w:rPr>
        <w:t xml:space="preserve">main screens of the </w:t>
      </w:r>
      <w:r w:rsidR="003F12EA" w:rsidRPr="002152AC">
        <w:rPr>
          <w:rStyle w:val="CETCaptionCarattere"/>
          <w:i/>
        </w:rPr>
        <w:t xml:space="preserve">developed app. </w:t>
      </w:r>
    </w:p>
    <w:p w14:paraId="5B0EEDBF" w14:textId="72EFC439" w:rsidR="000A2F3D" w:rsidRPr="002152AC" w:rsidRDefault="000A2F3D" w:rsidP="000A2F3D">
      <w:pPr>
        <w:pStyle w:val="CETheadingx"/>
      </w:pPr>
      <w:r w:rsidRPr="002152AC">
        <w:t>Wireless sensor network</w:t>
      </w:r>
    </w:p>
    <w:p w14:paraId="393FE49B" w14:textId="7A7CD45D" w:rsidR="00B20928" w:rsidRPr="002152AC" w:rsidRDefault="00D9712E" w:rsidP="005641DA">
      <w:pPr>
        <w:pStyle w:val="CETBodytext"/>
      </w:pPr>
      <w:r w:rsidRPr="002152AC">
        <w:t>The most efficient solution to obtain measurements of a high number of locations is by means of wireless sensor networks (WSN) (Arroyo et al. 2018, Arroyo et al. 2019). With the increasing acquisition of smart personal mobile devices with Internet connection, such as smartphones, it is interesting to consider their incorporation into this kind of systems. In this way, each mobile device user could be view as a sensor node integrated in a wireless network. This would create a higher resolution air quality indicative map. For this purpose, the air quality measurement device must be small, so that it can be easily carried and does not cause any inconvenience to the holder or citizen. In this regard, Mobile Sensing Systems (MSS) have emerged, which are mobile sensor systems made up of smartphones (to control the sensors), a web server to store data, and the use of protocols and cloud computing to send and retrieve the data. These systems have been reviewed by several authors (</w:t>
      </w:r>
      <w:proofErr w:type="spellStart"/>
      <w:r w:rsidRPr="002152AC">
        <w:t>Laport</w:t>
      </w:r>
      <w:proofErr w:type="spellEnd"/>
      <w:r w:rsidRPr="002152AC">
        <w:t>-López et al., 2019, Khan et al., 2013, Macias et al. 2013).</w:t>
      </w:r>
    </w:p>
    <w:p w14:paraId="4450E577" w14:textId="7B806B2B" w:rsidR="005641DA" w:rsidRPr="002152AC" w:rsidRDefault="005641DA" w:rsidP="005641DA">
      <w:pPr>
        <w:pStyle w:val="CETheadingx"/>
      </w:pPr>
      <w:r w:rsidRPr="002152AC">
        <w:t>Experimental setups</w:t>
      </w:r>
    </w:p>
    <w:p w14:paraId="10717BFA" w14:textId="5BFF69DD" w:rsidR="00922AF6" w:rsidRDefault="00922AF6" w:rsidP="00922AF6">
      <w:pPr>
        <w:pStyle w:val="CETBodytext"/>
      </w:pPr>
      <w:r w:rsidRPr="002152AC">
        <w:t>The devices were tested in two distinct environments</w:t>
      </w:r>
      <w:r w:rsidR="00072204" w:rsidRPr="002152AC">
        <w:t>:</w:t>
      </w:r>
      <w:r w:rsidR="0044478D" w:rsidRPr="002152AC">
        <w:t xml:space="preserve"> laboratory and in field</w:t>
      </w:r>
      <w:r w:rsidR="005863B8" w:rsidRPr="002152AC">
        <w:t xml:space="preserve"> conditions</w:t>
      </w:r>
      <w:r w:rsidRPr="002152AC">
        <w:t>. First, we exposed them to laboratory-controlled gas concentrations using the calibration instrument Model 714 NO</w:t>
      </w:r>
      <w:r w:rsidRPr="002152AC">
        <w:rPr>
          <w:vertAlign w:val="subscript"/>
        </w:rPr>
        <w:t>2</w:t>
      </w:r>
      <w:r w:rsidR="00725AEE" w:rsidRPr="002152AC">
        <w:t>/</w:t>
      </w:r>
      <w:r w:rsidRPr="002152AC">
        <w:t>NO/O</w:t>
      </w:r>
      <w:r w:rsidRPr="002152AC">
        <w:rPr>
          <w:vertAlign w:val="subscript"/>
        </w:rPr>
        <w:t>3</w:t>
      </w:r>
      <w:r w:rsidRPr="002152AC">
        <w:t xml:space="preserve"> Calibration Source by 2B Technologies (Boulder, Colorado, US). </w:t>
      </w:r>
      <w:r w:rsidR="00DB0AD8" w:rsidRPr="002152AC">
        <w:t>Second, a measurement campaign done by voluntary citizens</w:t>
      </w:r>
      <w:r w:rsidR="00B341B8" w:rsidRPr="002152AC">
        <w:t xml:space="preserve"> in Bar</w:t>
      </w:r>
      <w:r w:rsidR="006E5CE5" w:rsidRPr="002152AC">
        <w:t>celona Metropolitan Area</w:t>
      </w:r>
      <w:r w:rsidR="008E0062" w:rsidRPr="002152AC">
        <w:t xml:space="preserve"> (Feb. 22 – May 7, 2021)</w:t>
      </w:r>
      <w:r w:rsidR="006E5CE5" w:rsidRPr="002152AC">
        <w:t>.</w:t>
      </w:r>
    </w:p>
    <w:p w14:paraId="7914317D" w14:textId="77777777" w:rsidR="00B3621A" w:rsidRPr="002152AC" w:rsidRDefault="00B3621A" w:rsidP="00B3621A">
      <w:pPr>
        <w:pStyle w:val="CETHeading1"/>
        <w:tabs>
          <w:tab w:val="clear" w:pos="360"/>
          <w:tab w:val="right" w:pos="7100"/>
        </w:tabs>
        <w:jc w:val="both"/>
        <w:rPr>
          <w:lang w:val="en-GB"/>
        </w:rPr>
      </w:pPr>
      <w:r w:rsidRPr="002152AC">
        <w:rPr>
          <w:lang w:val="en-GB"/>
        </w:rPr>
        <w:t>Experimental results</w:t>
      </w:r>
    </w:p>
    <w:p w14:paraId="16BB7DC0" w14:textId="77777777" w:rsidR="00B3621A" w:rsidRPr="002152AC" w:rsidRDefault="00B3621A" w:rsidP="00B3621A">
      <w:pPr>
        <w:pStyle w:val="CETheadingx"/>
      </w:pPr>
      <w:r w:rsidRPr="002152AC">
        <w:t>Laboratory measurements</w:t>
      </w:r>
    </w:p>
    <w:p w14:paraId="31D3F39C" w14:textId="77777777" w:rsidR="00B3621A" w:rsidRPr="00FD6659" w:rsidRDefault="00B3621A" w:rsidP="00B3621A">
      <w:pPr>
        <w:pStyle w:val="CETBodytext"/>
      </w:pPr>
      <w:r w:rsidRPr="00FD6659">
        <w:t>First, the system was tested in a controlled environment using the calibration instrument Model 714 NO2/NO/O3 Calibration Source by 2B Technologies, US. The designed device was contained in a hermetic box with two bulkhead fitting for inlet and outlet air. An inlet tube connected the calibration instrument to the hermetic box and, thanks to the outlet tube, provided an air flow with calibrated concentrations in parts per billion of the mentioned gases. Therefore, it was possible to determine the response of the sensors array to two major outdoor air pollutants: NO</w:t>
      </w:r>
      <w:r w:rsidRPr="001B2771">
        <w:rPr>
          <w:vertAlign w:val="subscript"/>
        </w:rPr>
        <w:t>2</w:t>
      </w:r>
      <w:r w:rsidRPr="00FD6659">
        <w:t xml:space="preserve"> and O</w:t>
      </w:r>
      <w:r w:rsidRPr="001B2771">
        <w:rPr>
          <w:vertAlign w:val="subscript"/>
        </w:rPr>
        <w:t>3</w:t>
      </w:r>
      <w:r w:rsidRPr="00FD6659">
        <w:t>.</w:t>
      </w:r>
    </w:p>
    <w:p w14:paraId="708D2DAE" w14:textId="77777777" w:rsidR="00E469CE" w:rsidRPr="002152AC" w:rsidRDefault="00E469CE" w:rsidP="00922AF6">
      <w:pPr>
        <w:pStyle w:val="CETBodytext"/>
      </w:pPr>
    </w:p>
    <w:p w14:paraId="1EFEF595" w14:textId="6732D33C" w:rsidR="009B52FD" w:rsidRPr="002152AC" w:rsidRDefault="000445E4" w:rsidP="00A50FE7">
      <w:pPr>
        <w:pStyle w:val="CETBodytext"/>
        <w:jc w:val="center"/>
      </w:pPr>
      <w:r>
        <w:rPr>
          <w:noProof/>
        </w:rPr>
        <w:drawing>
          <wp:inline distT="0" distB="0" distL="0" distR="0" wp14:anchorId="0FFCE71A" wp14:editId="78249252">
            <wp:extent cx="1979202" cy="2573022"/>
            <wp:effectExtent l="0" t="0" r="2540" b="5080"/>
            <wp:docPr id="30" name="Imagen 30" descr="Un celular sobr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celular sobre una mesa&#10;&#10;Descripción generada automáticamente con confianza media"/>
                    <pic:cNvPicPr/>
                  </pic:nvPicPr>
                  <pic:blipFill rotWithShape="1">
                    <a:blip r:embed="rId14"/>
                    <a:srcRect l="21719" r="20592"/>
                    <a:stretch/>
                  </pic:blipFill>
                  <pic:spPr bwMode="auto">
                    <a:xfrm>
                      <a:off x="0" y="0"/>
                      <a:ext cx="2005291" cy="2606939"/>
                    </a:xfrm>
                    <a:prstGeom prst="rect">
                      <a:avLst/>
                    </a:prstGeom>
                    <a:ln>
                      <a:noFill/>
                    </a:ln>
                    <a:extLst>
                      <a:ext uri="{53640926-AAD7-44D8-BBD7-CCE9431645EC}">
                        <a14:shadowObscured xmlns:a14="http://schemas.microsoft.com/office/drawing/2010/main"/>
                      </a:ext>
                    </a:extLst>
                  </pic:spPr>
                </pic:pic>
              </a:graphicData>
            </a:graphic>
          </wp:inline>
        </w:drawing>
      </w:r>
      <w:r w:rsidR="001B147A">
        <w:rPr>
          <w:noProof/>
        </w:rPr>
        <w:drawing>
          <wp:inline distT="0" distB="0" distL="0" distR="0" wp14:anchorId="04734B14" wp14:editId="79FE028C">
            <wp:extent cx="1976458" cy="2569992"/>
            <wp:effectExtent l="0" t="0" r="5080" b="0"/>
            <wp:docPr id="31" name="Imagen 31" descr="Imagen que contiene persona, interior, tabl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persona, interior, tabla, hombre&#10;&#10;Descripción generada automáticamente"/>
                    <pic:cNvPicPr/>
                  </pic:nvPicPr>
                  <pic:blipFill rotWithShape="1">
                    <a:blip r:embed="rId15"/>
                    <a:srcRect l="20518" r="21805"/>
                    <a:stretch/>
                  </pic:blipFill>
                  <pic:spPr bwMode="auto">
                    <a:xfrm>
                      <a:off x="0" y="0"/>
                      <a:ext cx="2012658" cy="2617063"/>
                    </a:xfrm>
                    <a:prstGeom prst="rect">
                      <a:avLst/>
                    </a:prstGeom>
                    <a:ln>
                      <a:noFill/>
                    </a:ln>
                    <a:extLst>
                      <a:ext uri="{53640926-AAD7-44D8-BBD7-CCE9431645EC}">
                        <a14:shadowObscured xmlns:a14="http://schemas.microsoft.com/office/drawing/2010/main"/>
                      </a:ext>
                    </a:extLst>
                  </pic:spPr>
                </pic:pic>
              </a:graphicData>
            </a:graphic>
          </wp:inline>
        </w:drawing>
      </w:r>
    </w:p>
    <w:p w14:paraId="64E9051B" w14:textId="6DFAD9DA" w:rsidR="00922AF6" w:rsidRPr="002152AC" w:rsidRDefault="00492091" w:rsidP="008413A2">
      <w:pPr>
        <w:pStyle w:val="CETCaption"/>
      </w:pPr>
      <w:r w:rsidRPr="002152AC">
        <w:rPr>
          <w:rStyle w:val="CETCaptionCarattere"/>
          <w:i/>
        </w:rPr>
        <w:t xml:space="preserve">Figure </w:t>
      </w:r>
      <w:r w:rsidR="008D5AB4">
        <w:rPr>
          <w:rStyle w:val="CETCaptionCarattere"/>
          <w:i/>
        </w:rPr>
        <w:t>3</w:t>
      </w:r>
      <w:r w:rsidRPr="002152AC">
        <w:rPr>
          <w:rStyle w:val="CETCaptionCarattere"/>
          <w:i/>
        </w:rPr>
        <w:t xml:space="preserve">: </w:t>
      </w:r>
      <w:r w:rsidR="006F7D25" w:rsidRPr="002152AC">
        <w:rPr>
          <w:rStyle w:val="CETCaptionCarattere"/>
          <w:i/>
        </w:rPr>
        <w:t xml:space="preserve">Experimental setups </w:t>
      </w:r>
      <w:r w:rsidR="008413A2" w:rsidRPr="002152AC">
        <w:rPr>
          <w:rStyle w:val="CETCaptionCarattere"/>
          <w:i/>
        </w:rPr>
        <w:t xml:space="preserve">for validation, in laboratory-controlled conditions </w:t>
      </w:r>
      <w:r w:rsidR="001B147A">
        <w:rPr>
          <w:rStyle w:val="CETCaptionCarattere"/>
          <w:i/>
        </w:rPr>
        <w:t xml:space="preserve">(left) </w:t>
      </w:r>
      <w:r w:rsidR="008413A2" w:rsidRPr="002152AC">
        <w:rPr>
          <w:rStyle w:val="CETCaptionCarattere"/>
          <w:i/>
        </w:rPr>
        <w:t xml:space="preserve">and in </w:t>
      </w:r>
      <w:r w:rsidR="001B147A">
        <w:rPr>
          <w:rStyle w:val="CETCaptionCarattere"/>
          <w:i/>
        </w:rPr>
        <w:t>field</w:t>
      </w:r>
      <w:r w:rsidR="008413A2" w:rsidRPr="002152AC">
        <w:rPr>
          <w:rStyle w:val="CETCaptionCarattere"/>
          <w:i/>
        </w:rPr>
        <w:t xml:space="preserve"> </w:t>
      </w:r>
      <w:r w:rsidR="001F3B39">
        <w:rPr>
          <w:rStyle w:val="CETCaptionCarattere"/>
          <w:i/>
        </w:rPr>
        <w:t>campaigns</w:t>
      </w:r>
      <w:r w:rsidR="00FD6659">
        <w:rPr>
          <w:rStyle w:val="CETCaptionCarattere"/>
          <w:i/>
        </w:rPr>
        <w:t xml:space="preserve"> carried by one of the users(right)</w:t>
      </w:r>
      <w:r w:rsidR="008413A2" w:rsidRPr="002152AC">
        <w:rPr>
          <w:rStyle w:val="CETCaptionCarattere"/>
          <w:i/>
        </w:rPr>
        <w:t>.</w:t>
      </w:r>
      <w:r w:rsidRPr="002152AC">
        <w:t xml:space="preserve"> </w:t>
      </w:r>
    </w:p>
    <w:p w14:paraId="3A3B8E9A" w14:textId="4434AAAE" w:rsidR="00C57D9F" w:rsidRDefault="00BD0D06" w:rsidP="00C57D9F">
      <w:pPr>
        <w:pStyle w:val="CETBodytext"/>
      </w:pPr>
      <w:r w:rsidRPr="00FD6659">
        <w:t>The response of the raw signals of all five sensors and the concentration values used in the experiment are all shown in Fig</w:t>
      </w:r>
      <w:r w:rsidR="006A3DED">
        <w:t>ure</w:t>
      </w:r>
      <w:r w:rsidRPr="00FD6659">
        <w:t xml:space="preserve"> </w:t>
      </w:r>
      <w:r w:rsidR="008D5AB4">
        <w:t>4 left</w:t>
      </w:r>
      <w:r w:rsidRPr="00FD6659">
        <w:t>.</w:t>
      </w:r>
      <w:r w:rsidR="00C57D9F">
        <w:t xml:space="preserve"> </w:t>
      </w:r>
      <w:r w:rsidR="00C57D9F" w:rsidRPr="000F3B60">
        <w:t>The fingerprint for each concentration and pollutant</w:t>
      </w:r>
      <w:r w:rsidR="00C57D9F">
        <w:t xml:space="preserve"> </w:t>
      </w:r>
      <w:r w:rsidR="00C57D9F" w:rsidRPr="000F3B60">
        <w:t>allows to compare the response of the sensors. The chart proves that the device is capable of distinguishing between NO</w:t>
      </w:r>
      <w:r w:rsidR="00C57D9F" w:rsidRPr="006A7383">
        <w:rPr>
          <w:vertAlign w:val="subscript"/>
        </w:rPr>
        <w:t>2</w:t>
      </w:r>
      <w:r w:rsidR="00C57D9F" w:rsidRPr="000F3B60">
        <w:t xml:space="preserve"> and O</w:t>
      </w:r>
      <w:r w:rsidR="00C57D9F" w:rsidRPr="006A7383">
        <w:rPr>
          <w:vertAlign w:val="subscript"/>
        </w:rPr>
        <w:t>3</w:t>
      </w:r>
      <w:r w:rsidR="00C57D9F" w:rsidRPr="000F3B60">
        <w:t xml:space="preserve"> at different concentration levels, with sensors producing differentiated responses for each pollutant. </w:t>
      </w:r>
    </w:p>
    <w:p w14:paraId="1DE1FD3A" w14:textId="377F6B76" w:rsidR="00423770" w:rsidRDefault="00423770" w:rsidP="00423770">
      <w:pPr>
        <w:tabs>
          <w:tab w:val="center" w:pos="4252"/>
          <w:tab w:val="right" w:pos="8504"/>
        </w:tabs>
        <w:spacing w:before="240" w:after="240" w:line="240" w:lineRule="auto"/>
        <w:jc w:val="center"/>
        <w:rPr>
          <w:rStyle w:val="CETCaptionCarattere"/>
        </w:rPr>
      </w:pPr>
      <w:r w:rsidRPr="002152AC">
        <w:rPr>
          <w:noProof/>
        </w:rPr>
        <w:drawing>
          <wp:inline distT="0" distB="0" distL="0" distR="0" wp14:anchorId="1AA7B400" wp14:editId="5EB0CB71">
            <wp:extent cx="2285559" cy="1954731"/>
            <wp:effectExtent l="0" t="0" r="635" b="1270"/>
            <wp:docPr id="8" name="image3.jpeg"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Gráfico, Gráfico radial&#10;&#10;Descripción generada automáticament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373" cy="1959704"/>
                    </a:xfrm>
                    <a:prstGeom prst="rect">
                      <a:avLst/>
                    </a:prstGeom>
                    <a:noFill/>
                    <a:ln>
                      <a:noFill/>
                    </a:ln>
                  </pic:spPr>
                </pic:pic>
              </a:graphicData>
            </a:graphic>
          </wp:inline>
        </w:drawing>
      </w:r>
      <w:r w:rsidR="00712572" w:rsidRPr="002152AC">
        <w:rPr>
          <w:noProof/>
        </w:rPr>
        <w:drawing>
          <wp:inline distT="0" distB="0" distL="0" distR="0" wp14:anchorId="2E4A526E" wp14:editId="74490127">
            <wp:extent cx="3101681" cy="2004923"/>
            <wp:effectExtent l="0" t="0" r="0" b="1905"/>
            <wp:docPr id="25" name="image4.png"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10;&#10;Descripción generada automáticamente con confianza media"/>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4515" cy="2039075"/>
                    </a:xfrm>
                    <a:prstGeom prst="rect">
                      <a:avLst/>
                    </a:prstGeom>
                    <a:noFill/>
                    <a:ln>
                      <a:noFill/>
                    </a:ln>
                  </pic:spPr>
                </pic:pic>
              </a:graphicData>
            </a:graphic>
          </wp:inline>
        </w:drawing>
      </w:r>
    </w:p>
    <w:p w14:paraId="1176BC0B" w14:textId="3C115FBA" w:rsidR="00BD0D06" w:rsidRPr="00423770" w:rsidRDefault="00D92763" w:rsidP="00423770">
      <w:pPr>
        <w:tabs>
          <w:tab w:val="center" w:pos="4252"/>
          <w:tab w:val="right" w:pos="8504"/>
        </w:tabs>
        <w:spacing w:before="240" w:after="240" w:line="240" w:lineRule="auto"/>
        <w:jc w:val="left"/>
        <w:rPr>
          <w:i/>
        </w:rPr>
      </w:pPr>
      <w:r w:rsidRPr="002152AC">
        <w:rPr>
          <w:rStyle w:val="CETCaptionCarattere"/>
        </w:rPr>
        <w:t>Figure</w:t>
      </w:r>
      <w:r w:rsidR="00BD0D06" w:rsidRPr="00771C97">
        <w:rPr>
          <w:rStyle w:val="CETCaptionCarattere"/>
        </w:rPr>
        <w:t xml:space="preserve"> </w:t>
      </w:r>
      <w:r w:rsidR="00AA47E2">
        <w:rPr>
          <w:rStyle w:val="CETCaptionCarattere"/>
        </w:rPr>
        <w:t>4</w:t>
      </w:r>
      <w:r w:rsidR="00BD0D06" w:rsidRPr="00771C97">
        <w:rPr>
          <w:rStyle w:val="CETCaptionCarattere"/>
        </w:rPr>
        <w:t xml:space="preserve">. </w:t>
      </w:r>
      <w:r w:rsidR="006A7383">
        <w:rPr>
          <w:rStyle w:val="CETCaptionCarattere"/>
        </w:rPr>
        <w:t>Radial plot</w:t>
      </w:r>
      <w:r w:rsidR="00BD0D06" w:rsidRPr="00771C97">
        <w:rPr>
          <w:rStyle w:val="CETCaptionCarattere"/>
        </w:rPr>
        <w:t xml:space="preserve"> with the normalized response of the five integrated MOS gas sensors</w:t>
      </w:r>
      <w:r w:rsidR="00712572">
        <w:rPr>
          <w:rStyle w:val="CETCaptionCarattere"/>
        </w:rPr>
        <w:t xml:space="preserve"> (left) and temporal r</w:t>
      </w:r>
      <w:r w:rsidR="00712572" w:rsidRPr="00BB6CF8">
        <w:rPr>
          <w:rStyle w:val="CETCaptionCarattere"/>
        </w:rPr>
        <w:t>esponse curves of the ZMOD4410</w:t>
      </w:r>
      <w:r w:rsidR="00BD0D06" w:rsidRPr="00771C97">
        <w:rPr>
          <w:rStyle w:val="CETCaptionCarattere"/>
        </w:rPr>
        <w:t>in the test experiment in lab.</w:t>
      </w:r>
    </w:p>
    <w:p w14:paraId="4D6D72DA" w14:textId="019244CE" w:rsidR="00BD0D06" w:rsidRDefault="00F271BA" w:rsidP="00712572">
      <w:pPr>
        <w:pStyle w:val="CETBodytext"/>
      </w:pPr>
      <w:r>
        <w:t xml:space="preserve">Figure </w:t>
      </w:r>
      <w:r w:rsidR="00AA47E2">
        <w:t>4</w:t>
      </w:r>
      <w:r w:rsidR="008D5AB4">
        <w:t xml:space="preserve"> right</w:t>
      </w:r>
      <w:r>
        <w:t xml:space="preserve"> show</w:t>
      </w:r>
      <w:r w:rsidR="008D5AB4">
        <w:t>s</w:t>
      </w:r>
      <w:r>
        <w:t xml:space="preserve"> the temporal response of </w:t>
      </w:r>
      <w:r w:rsidR="00554075">
        <w:t xml:space="preserve">some of the sensors used for calculating the Air Quality Index. </w:t>
      </w:r>
      <w:r w:rsidR="00BD0D06" w:rsidRPr="000F3B60">
        <w:t>The reference lines (in grey) are used to distinguish the phases of the experiment. After the first reference line, the hermetic box was closed and the calibration instrument emitted clean air for seven minutes before starting the sequence of O</w:t>
      </w:r>
      <w:r w:rsidR="00BD0D06" w:rsidRPr="00554075">
        <w:rPr>
          <w:vertAlign w:val="subscript"/>
        </w:rPr>
        <w:t>3</w:t>
      </w:r>
      <w:r w:rsidR="00BD0D06" w:rsidRPr="000F3B60">
        <w:t xml:space="preserve"> at concentrations of 50 ppb, 120 ppb and 240 ppb (in blue). Each step lasted ten minutes. When the sequence finished, the box remained open for three minutes. After the second line, the process was repeated with NO</w:t>
      </w:r>
      <w:r w:rsidR="00BD0D06" w:rsidRPr="00554075">
        <w:rPr>
          <w:vertAlign w:val="subscript"/>
        </w:rPr>
        <w:t>2</w:t>
      </w:r>
      <w:r w:rsidR="00BD0D06" w:rsidRPr="000F3B60">
        <w:t>. After the third line, the box was opened. The evolution of both the raw resistance signal in ohms (</w:t>
      </w:r>
      <w:proofErr w:type="spellStart"/>
      <w:r w:rsidR="00BD0D06" w:rsidRPr="000F3B60">
        <w:t>coloured</w:t>
      </w:r>
      <w:proofErr w:type="spellEnd"/>
      <w:r w:rsidR="00BD0D06" w:rsidRPr="000F3B60">
        <w:t xml:space="preserve"> red) and the dimensionless processed </w:t>
      </w:r>
      <w:proofErr w:type="spellStart"/>
      <w:r w:rsidR="00BD0D06" w:rsidRPr="000F3B60">
        <w:t>iAQ</w:t>
      </w:r>
      <w:proofErr w:type="spellEnd"/>
      <w:r w:rsidR="00BD0D06" w:rsidRPr="000F3B60">
        <w:t xml:space="preserve"> signal (</w:t>
      </w:r>
      <w:proofErr w:type="spellStart"/>
      <w:r w:rsidR="00BD0D06" w:rsidRPr="000F3B60">
        <w:t>coloured</w:t>
      </w:r>
      <w:proofErr w:type="spellEnd"/>
      <w:r w:rsidR="00BD0D06" w:rsidRPr="000F3B60">
        <w:t xml:space="preserve"> green) are presented.</w:t>
      </w:r>
    </w:p>
    <w:p w14:paraId="56900F63" w14:textId="77777777" w:rsidR="008D5AB4" w:rsidRPr="00712572" w:rsidRDefault="008D5AB4" w:rsidP="00712572">
      <w:pPr>
        <w:pStyle w:val="CETBodytext"/>
      </w:pPr>
    </w:p>
    <w:p w14:paraId="4DB4E4E7" w14:textId="42087AED" w:rsidR="00BD0D06" w:rsidRPr="002152AC" w:rsidRDefault="000F3B60" w:rsidP="00D92763">
      <w:pPr>
        <w:rPr>
          <w:rFonts w:cs="Arial"/>
          <w:sz w:val="22"/>
          <w:szCs w:val="22"/>
        </w:rPr>
      </w:pPr>
      <w:r w:rsidRPr="002152AC">
        <w:rPr>
          <w:noProof/>
        </w:rPr>
        <w:drawing>
          <wp:inline distT="0" distB="0" distL="0" distR="0" wp14:anchorId="5A60B3AF" wp14:editId="662211DD">
            <wp:extent cx="5594690" cy="3345366"/>
            <wp:effectExtent l="0" t="0" r="6350" b="0"/>
            <wp:docPr id="27" name="Imagen 1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pa&#10;&#10;Descripción generada automáticament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9836" cy="3384320"/>
                    </a:xfrm>
                    <a:prstGeom prst="rect">
                      <a:avLst/>
                    </a:prstGeom>
                    <a:noFill/>
                    <a:ln>
                      <a:noFill/>
                    </a:ln>
                  </pic:spPr>
                </pic:pic>
              </a:graphicData>
            </a:graphic>
          </wp:inline>
        </w:drawing>
      </w:r>
    </w:p>
    <w:p w14:paraId="31CC2A64" w14:textId="63664B54" w:rsidR="00BD0D06" w:rsidRPr="00DE521C" w:rsidRDefault="00D92763" w:rsidP="00DE521C">
      <w:pPr>
        <w:tabs>
          <w:tab w:val="center" w:pos="4252"/>
          <w:tab w:val="right" w:pos="8504"/>
        </w:tabs>
        <w:spacing w:before="240" w:after="240" w:line="240" w:lineRule="auto"/>
        <w:jc w:val="left"/>
        <w:rPr>
          <w:i/>
        </w:rPr>
      </w:pPr>
      <w:r w:rsidRPr="002152AC">
        <w:rPr>
          <w:rStyle w:val="CETCaptionCarattere"/>
        </w:rPr>
        <w:t>Figure</w:t>
      </w:r>
      <w:r w:rsidR="00BD0D06" w:rsidRPr="00EA1149">
        <w:rPr>
          <w:rStyle w:val="CETCaptionCarattere"/>
        </w:rPr>
        <w:t xml:space="preserve"> </w:t>
      </w:r>
      <w:r w:rsidR="00AA47E2">
        <w:rPr>
          <w:rStyle w:val="CETCaptionCarattere"/>
        </w:rPr>
        <w:t>5</w:t>
      </w:r>
      <w:r w:rsidR="00BD0D06" w:rsidRPr="00EA1149">
        <w:rPr>
          <w:rStyle w:val="CETCaptionCarattere"/>
        </w:rPr>
        <w:t>. Map of the Barcelona metropolitan area</w:t>
      </w:r>
      <w:r w:rsidR="00AA47E2">
        <w:rPr>
          <w:rStyle w:val="CETCaptionCarattere"/>
        </w:rPr>
        <w:t xml:space="preserve"> (North)</w:t>
      </w:r>
      <w:r w:rsidR="00BD0D06" w:rsidRPr="00EA1149">
        <w:rPr>
          <w:rStyle w:val="CETCaptionCarattere"/>
        </w:rPr>
        <w:t xml:space="preserve">, showing Air Quality Index values gathered by several volunteers carrying the designed devices. </w:t>
      </w:r>
    </w:p>
    <w:p w14:paraId="00831852" w14:textId="47585A3E" w:rsidR="00BD0D06" w:rsidRPr="002152AC" w:rsidRDefault="00DD3085" w:rsidP="00D92763">
      <w:pPr>
        <w:rPr>
          <w:rFonts w:cs="Arial"/>
          <w:sz w:val="22"/>
          <w:szCs w:val="22"/>
        </w:rPr>
      </w:pPr>
      <w:r w:rsidRPr="002152AC">
        <w:rPr>
          <w:noProof/>
        </w:rPr>
        <w:drawing>
          <wp:inline distT="0" distB="0" distL="0" distR="0" wp14:anchorId="238AE580" wp14:editId="18A54E09">
            <wp:extent cx="5594690" cy="3345366"/>
            <wp:effectExtent l="0" t="0" r="6350" b="0"/>
            <wp:docPr id="28" name="Imagen 1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Mapa&#10;&#10;Descripción generada automáticament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284" cy="3394155"/>
                    </a:xfrm>
                    <a:prstGeom prst="rect">
                      <a:avLst/>
                    </a:prstGeom>
                    <a:noFill/>
                    <a:ln>
                      <a:noFill/>
                    </a:ln>
                  </pic:spPr>
                </pic:pic>
              </a:graphicData>
            </a:graphic>
          </wp:inline>
        </w:drawing>
      </w:r>
    </w:p>
    <w:p w14:paraId="3E0B8367" w14:textId="6664D412" w:rsidR="00BD0D06" w:rsidRDefault="00D92763" w:rsidP="00DE521C">
      <w:pPr>
        <w:tabs>
          <w:tab w:val="center" w:pos="4252"/>
          <w:tab w:val="right" w:pos="8504"/>
        </w:tabs>
        <w:spacing w:before="240" w:after="240" w:line="240" w:lineRule="auto"/>
        <w:jc w:val="left"/>
        <w:rPr>
          <w:rStyle w:val="CETCaptionCarattere"/>
        </w:rPr>
      </w:pPr>
      <w:r w:rsidRPr="002152AC">
        <w:rPr>
          <w:rStyle w:val="CETCaptionCarattere"/>
        </w:rPr>
        <w:t>Figure</w:t>
      </w:r>
      <w:r w:rsidR="00BD0D06" w:rsidRPr="00EA1149">
        <w:rPr>
          <w:rStyle w:val="CETCaptionCarattere"/>
        </w:rPr>
        <w:t xml:space="preserve"> </w:t>
      </w:r>
      <w:r w:rsidR="00AA47E2">
        <w:rPr>
          <w:rStyle w:val="CETCaptionCarattere"/>
        </w:rPr>
        <w:t>6</w:t>
      </w:r>
      <w:r w:rsidR="00BD0D06" w:rsidRPr="00EA1149">
        <w:rPr>
          <w:rStyle w:val="CETCaptionCarattere"/>
        </w:rPr>
        <w:t>. Map of the Barcelona metropolitan area</w:t>
      </w:r>
      <w:r w:rsidR="00AA47E2">
        <w:rPr>
          <w:rStyle w:val="CETCaptionCarattere"/>
        </w:rPr>
        <w:t xml:space="preserve"> (North)</w:t>
      </w:r>
      <w:r w:rsidR="00BD0D06" w:rsidRPr="00EA1149">
        <w:rPr>
          <w:rStyle w:val="CETCaptionCarattere"/>
        </w:rPr>
        <w:t>, showing PM2.5 values gathered by several volunteers carrying the designed devices.</w:t>
      </w:r>
    </w:p>
    <w:p w14:paraId="10EB0081" w14:textId="77777777" w:rsidR="008D5AB4" w:rsidRPr="002152AC" w:rsidRDefault="008D5AB4" w:rsidP="008D5AB4">
      <w:pPr>
        <w:pStyle w:val="CETheadingx"/>
      </w:pPr>
      <w:r w:rsidRPr="002152AC">
        <w:t>Campaign at Barcelona</w:t>
      </w:r>
    </w:p>
    <w:p w14:paraId="227F0545" w14:textId="48A0621F" w:rsidR="008D5AB4" w:rsidRDefault="008D5AB4" w:rsidP="008D5AB4">
      <w:pPr>
        <w:pStyle w:val="CETBodytext"/>
      </w:pPr>
      <w:r w:rsidRPr="000F3B60">
        <w:t xml:space="preserve">Having verified the device’s response to two major outdoor air pollutants, </w:t>
      </w:r>
      <w:r w:rsidR="00E85138">
        <w:t>four devices</w:t>
      </w:r>
      <w:r w:rsidRPr="000F3B60">
        <w:t xml:space="preserve"> </w:t>
      </w:r>
      <w:r w:rsidR="00E85138">
        <w:t>were</w:t>
      </w:r>
      <w:r w:rsidRPr="000F3B60">
        <w:t xml:space="preserve"> deployed for field testing in a campaign at Sant </w:t>
      </w:r>
      <w:proofErr w:type="spellStart"/>
      <w:r w:rsidRPr="000F3B60">
        <w:t>Adrià</w:t>
      </w:r>
      <w:proofErr w:type="spellEnd"/>
      <w:r w:rsidRPr="000F3B60">
        <w:t xml:space="preserve"> de </w:t>
      </w:r>
      <w:proofErr w:type="spellStart"/>
      <w:r w:rsidRPr="000F3B60">
        <w:t>Besòs</w:t>
      </w:r>
      <w:proofErr w:type="spellEnd"/>
      <w:r w:rsidRPr="000F3B60">
        <w:t xml:space="preserve"> with the help of some volunteers. To see the spatial distribution of the measurements, some of the values obtained, as an example, have been plot in a map. Fig</w:t>
      </w:r>
      <w:r w:rsidR="006A3DED">
        <w:t>ure</w:t>
      </w:r>
      <w:r w:rsidRPr="000F3B60">
        <w:t xml:space="preserve"> </w:t>
      </w:r>
      <w:r w:rsidR="00AA47E2">
        <w:t>5</w:t>
      </w:r>
      <w:r w:rsidRPr="000F3B60">
        <w:t xml:space="preserve"> and </w:t>
      </w:r>
      <w:r w:rsidR="007B7BCF">
        <w:t xml:space="preserve">Figure </w:t>
      </w:r>
      <w:r w:rsidR="00AA47E2">
        <w:t>6</w:t>
      </w:r>
      <w:r w:rsidRPr="000F3B60">
        <w:t xml:space="preserve"> show the Air Quality Index </w:t>
      </w:r>
      <w:r w:rsidR="005C5F48">
        <w:t xml:space="preserve">(AQI) </w:t>
      </w:r>
      <w:r w:rsidRPr="000F3B60">
        <w:t>for gases and PM2.5 respectively. In the map, each point represents a value collected at a certain time instant. The different symbols represent devices, whereas the color indicates the value’s range of Air Quality Index (Cyan - good, green - reasonably good, yellow - fair, red -</w:t>
      </w:r>
      <w:r w:rsidRPr="00DD3085">
        <w:t xml:space="preserve"> unfavourable, brown - very unfavourable, violet - extremely unfavourable).</w:t>
      </w:r>
    </w:p>
    <w:p w14:paraId="4D36DD20" w14:textId="77777777" w:rsidR="00775A36" w:rsidRDefault="00775A36" w:rsidP="008D5AB4">
      <w:pPr>
        <w:pStyle w:val="CETBodytext"/>
      </w:pPr>
    </w:p>
    <w:p w14:paraId="67060C5E" w14:textId="2225B86B" w:rsidR="00775A36" w:rsidRPr="009553FD" w:rsidRDefault="004513C5" w:rsidP="008D5AB4">
      <w:pPr>
        <w:pStyle w:val="CETBodytext"/>
      </w:pPr>
      <w:r>
        <w:t xml:space="preserve">The color scheme </w:t>
      </w:r>
      <w:r w:rsidR="00A72E7F">
        <w:t xml:space="preserve">is obtained by applying pattern recognition analysis </w:t>
      </w:r>
      <w:r w:rsidR="000849FA">
        <w:t>over the collected data</w:t>
      </w:r>
      <w:r w:rsidR="005C768C">
        <w:t>. First, we trained</w:t>
      </w:r>
      <w:r w:rsidR="008B0487">
        <w:t xml:space="preserve"> a</w:t>
      </w:r>
      <w:r w:rsidR="005C768C">
        <w:t xml:space="preserve"> multi-layer perceptron (MLP</w:t>
      </w:r>
      <w:r w:rsidR="005318D0">
        <w:t xml:space="preserve">) feedforward artificial neural network (ANN) </w:t>
      </w:r>
      <w:r w:rsidR="0073448C">
        <w:t xml:space="preserve">with the laboratory measurements, which included humidity and temperature correction from the measures taken by the BME680. We neglected the </w:t>
      </w:r>
      <w:r w:rsidR="005C5F48">
        <w:t>AQI predicted by the BME680, since we are only interested in the raw response of the sensing elements.</w:t>
      </w:r>
      <w:r w:rsidR="00086E9E">
        <w:t xml:space="preserve"> </w:t>
      </w:r>
      <w:r w:rsidR="00481533">
        <w:t xml:space="preserve">This </w:t>
      </w:r>
      <w:r w:rsidR="00524231">
        <w:t xml:space="preserve">laboratory MLP regressor is then feed into a </w:t>
      </w:r>
      <w:r w:rsidR="0044709D">
        <w:t xml:space="preserve">new MLP classifier along with the dataset from the </w:t>
      </w:r>
      <w:r w:rsidR="00625B0B">
        <w:t>field campaign</w:t>
      </w:r>
      <w:r w:rsidR="005D6DAE">
        <w:t xml:space="preserve">, which are represented in </w:t>
      </w:r>
      <w:r w:rsidR="007B6FC5">
        <w:t>Fig</w:t>
      </w:r>
      <w:r w:rsidR="006A3DED">
        <w:t>ure</w:t>
      </w:r>
      <w:r w:rsidR="007B6FC5">
        <w:t xml:space="preserve"> 5 and </w:t>
      </w:r>
      <w:r w:rsidR="007B7BCF">
        <w:t xml:space="preserve">Figure </w:t>
      </w:r>
      <w:r w:rsidR="007B6FC5">
        <w:t>6</w:t>
      </w:r>
      <w:r w:rsidR="00625B0B">
        <w:t>.</w:t>
      </w:r>
      <w:r w:rsidR="009370AC">
        <w:t xml:space="preserve"> </w:t>
      </w:r>
      <w:r w:rsidR="00E60F93">
        <w:t xml:space="preserve">Both </w:t>
      </w:r>
      <w:r w:rsidR="00E05B77">
        <w:t>algorithms output a scalar value between 1 to 6,</w:t>
      </w:r>
      <w:r w:rsidR="00906442">
        <w:t xml:space="preserve"> corresponding to </w:t>
      </w:r>
      <w:r w:rsidR="00D32733">
        <w:t>the</w:t>
      </w:r>
      <w:r w:rsidR="00906442">
        <w:t xml:space="preserve"> color</w:t>
      </w:r>
      <w:r w:rsidR="00C02EB2">
        <w:t xml:space="preserve"> value</w:t>
      </w:r>
      <w:r w:rsidR="00D32733">
        <w:t>s mentioned earlier</w:t>
      </w:r>
      <w:r w:rsidR="00DB0ADC">
        <w:t>.</w:t>
      </w:r>
    </w:p>
    <w:p w14:paraId="4BAC2AFC" w14:textId="2ABFB8EE" w:rsidR="003E03D1" w:rsidRPr="002152AC" w:rsidRDefault="00600535" w:rsidP="00600535">
      <w:pPr>
        <w:pStyle w:val="CETHeading1"/>
        <w:rPr>
          <w:lang w:val="en-GB"/>
        </w:rPr>
      </w:pPr>
      <w:r w:rsidRPr="002152AC">
        <w:rPr>
          <w:lang w:val="en-GB"/>
        </w:rPr>
        <w:t>Conclusions</w:t>
      </w:r>
      <w:r w:rsidR="003E03D1" w:rsidRPr="002152AC">
        <w:rPr>
          <w:lang w:val="en-GB"/>
        </w:rPr>
        <w:t xml:space="preserve"> and Future Works</w:t>
      </w:r>
    </w:p>
    <w:p w14:paraId="11B9E60F" w14:textId="1985AA3B" w:rsidR="00D939BC" w:rsidRPr="002152AC" w:rsidRDefault="007D5739" w:rsidP="003E03D1">
      <w:pPr>
        <w:pStyle w:val="CETBodytext"/>
        <w:rPr>
          <w:lang w:val="en-GB"/>
        </w:rPr>
      </w:pPr>
      <w:r w:rsidRPr="002152AC">
        <w:rPr>
          <w:lang w:val="en-GB"/>
        </w:rPr>
        <w:t xml:space="preserve">In this paper, a low-cost, low-consumption and very small size </w:t>
      </w:r>
      <w:r w:rsidR="00BD0D06" w:rsidRPr="002152AC">
        <w:rPr>
          <w:lang w:val="en-GB"/>
        </w:rPr>
        <w:t>Instrumental Odour Monitoring System</w:t>
      </w:r>
      <w:r w:rsidR="006B5FE2" w:rsidRPr="002152AC">
        <w:rPr>
          <w:lang w:val="en-GB"/>
        </w:rPr>
        <w:t xml:space="preserve"> has been used</w:t>
      </w:r>
      <w:r w:rsidRPr="002152AC">
        <w:rPr>
          <w:lang w:val="en-GB"/>
        </w:rPr>
        <w:t xml:space="preserve"> for air quality monitoring</w:t>
      </w:r>
      <w:r w:rsidR="002A226A" w:rsidRPr="002152AC">
        <w:rPr>
          <w:lang w:val="en-GB"/>
        </w:rPr>
        <w:t>. These devices</w:t>
      </w:r>
      <w:r w:rsidR="006B5FE2" w:rsidRPr="002152AC">
        <w:rPr>
          <w:lang w:val="en-GB"/>
        </w:rPr>
        <w:t xml:space="preserve"> </w:t>
      </w:r>
      <w:r w:rsidR="002A226A" w:rsidRPr="002152AC">
        <w:rPr>
          <w:lang w:val="en-GB"/>
        </w:rPr>
        <w:t xml:space="preserve">in combination with smartphones allows the creation </w:t>
      </w:r>
      <w:r w:rsidR="00B30FFE" w:rsidRPr="002152AC">
        <w:rPr>
          <w:lang w:val="en-GB"/>
        </w:rPr>
        <w:t>of</w:t>
      </w:r>
      <w:r w:rsidR="006B5FE2" w:rsidRPr="002152AC">
        <w:rPr>
          <w:lang w:val="en-GB"/>
        </w:rPr>
        <w:t xml:space="preserve"> a wireless sensor network for creating </w:t>
      </w:r>
      <w:r w:rsidR="00936A20" w:rsidRPr="002152AC">
        <w:rPr>
          <w:lang w:val="en-GB"/>
        </w:rPr>
        <w:t>air quality maps</w:t>
      </w:r>
      <w:r w:rsidR="00B30FFE" w:rsidRPr="002152AC">
        <w:rPr>
          <w:lang w:val="en-GB"/>
        </w:rPr>
        <w:t xml:space="preserve"> </w:t>
      </w:r>
      <w:r w:rsidRPr="002152AC">
        <w:rPr>
          <w:lang w:val="en-GB"/>
        </w:rPr>
        <w:t xml:space="preserve">in which each citizen acts as a node of a huge network with a very high number of nodes. </w:t>
      </w:r>
      <w:r w:rsidR="00D939BC" w:rsidRPr="002152AC">
        <w:rPr>
          <w:lang w:val="en-GB"/>
        </w:rPr>
        <w:t xml:space="preserve">We have presented </w:t>
      </w:r>
      <w:r w:rsidR="002D61AD" w:rsidRPr="002152AC">
        <w:rPr>
          <w:lang w:val="en-GB"/>
        </w:rPr>
        <w:t>this</w:t>
      </w:r>
      <w:r w:rsidR="00D939BC" w:rsidRPr="002152AC">
        <w:rPr>
          <w:lang w:val="en-GB"/>
        </w:rPr>
        <w:t xml:space="preserve"> platform for air quality monitoring and successfully deployed it in the field with volunteers in the city of Barcelona. The system can easily be extended to create urban networks that can monitor pollution events with improved spatial resolution.</w:t>
      </w:r>
      <w:r w:rsidRPr="002152AC">
        <w:rPr>
          <w:lang w:val="en-GB"/>
        </w:rPr>
        <w:t xml:space="preserve"> Additional</w:t>
      </w:r>
      <w:r w:rsidR="002D61AD" w:rsidRPr="002152AC">
        <w:rPr>
          <w:lang w:val="en-GB"/>
        </w:rPr>
        <w:t xml:space="preserve">ly, the device informs </w:t>
      </w:r>
      <w:r w:rsidR="00942E36" w:rsidRPr="002152AC">
        <w:rPr>
          <w:lang w:val="en-GB"/>
        </w:rPr>
        <w:t>each</w:t>
      </w:r>
      <w:r w:rsidR="002D61AD" w:rsidRPr="002152AC">
        <w:rPr>
          <w:lang w:val="en-GB"/>
        </w:rPr>
        <w:t xml:space="preserve"> user of the air quality </w:t>
      </w:r>
      <w:r w:rsidR="00942E36" w:rsidRPr="002152AC">
        <w:rPr>
          <w:lang w:val="en-GB"/>
        </w:rPr>
        <w:t xml:space="preserve">level in the </w:t>
      </w:r>
      <w:r w:rsidR="00C04B57" w:rsidRPr="002152AC">
        <w:rPr>
          <w:lang w:val="en-GB"/>
        </w:rPr>
        <w:t>nearby area and give advice for</w:t>
      </w:r>
      <w:r w:rsidR="00FD3B52" w:rsidRPr="002152AC">
        <w:rPr>
          <w:lang w:val="en-GB"/>
        </w:rPr>
        <w:t xml:space="preserve"> a better health</w:t>
      </w:r>
      <w:r w:rsidR="002152AC" w:rsidRPr="002152AC">
        <w:rPr>
          <w:lang w:val="en-GB"/>
        </w:rPr>
        <w:t xml:space="preserve"> and raise awareness about the importance of air quality</w:t>
      </w:r>
      <w:r w:rsidR="00FD3B52" w:rsidRPr="002152AC">
        <w:rPr>
          <w:lang w:val="en-GB"/>
        </w:rPr>
        <w:t>. Future</w:t>
      </w:r>
      <w:r w:rsidRPr="002152AC">
        <w:rPr>
          <w:lang w:val="en-GB"/>
        </w:rPr>
        <w:t xml:space="preserve"> tests with pollutants and odours could be performed to adjust the calibration algorithms to create pollutants and odour maps.</w:t>
      </w:r>
    </w:p>
    <w:p w14:paraId="77490FAE" w14:textId="025FC566" w:rsidR="003E03D1" w:rsidRPr="002152AC" w:rsidRDefault="00600535" w:rsidP="003E03D1">
      <w:pPr>
        <w:pStyle w:val="CETAcknowledgementstitle"/>
      </w:pPr>
      <w:r w:rsidRPr="002152AC">
        <w:t>Acknowledgments</w:t>
      </w:r>
    </w:p>
    <w:p w14:paraId="0DCFCAD9" w14:textId="58B6ACC9" w:rsidR="003E03D1" w:rsidRPr="002152AC" w:rsidRDefault="003E03D1" w:rsidP="003E03D1">
      <w:pPr>
        <w:pStyle w:val="CETBodytext"/>
        <w:rPr>
          <w:lang w:val="en-GB"/>
        </w:rPr>
      </w:pPr>
      <w:r w:rsidRPr="002152AC">
        <w:rPr>
          <w:lang w:val="en-GB"/>
        </w:rPr>
        <w:t>Authors want to thank the E</w:t>
      </w:r>
      <w:r w:rsidR="008D5AB4">
        <w:rPr>
          <w:lang w:val="en-GB"/>
        </w:rPr>
        <w:t xml:space="preserve">uropean </w:t>
      </w:r>
      <w:r w:rsidRPr="002152AC">
        <w:rPr>
          <w:lang w:val="en-GB"/>
        </w:rPr>
        <w:t>U</w:t>
      </w:r>
      <w:r w:rsidR="008D5AB4">
        <w:rPr>
          <w:lang w:val="en-GB"/>
        </w:rPr>
        <w:t>nion</w:t>
      </w:r>
      <w:r w:rsidRPr="002152AC">
        <w:rPr>
          <w:lang w:val="en-GB"/>
        </w:rPr>
        <w:t xml:space="preserve"> for supporting </w:t>
      </w:r>
      <w:proofErr w:type="spellStart"/>
      <w:r w:rsidRPr="002152AC">
        <w:rPr>
          <w:lang w:val="en-GB"/>
        </w:rPr>
        <w:t>NanoSen</w:t>
      </w:r>
      <w:proofErr w:type="spellEnd"/>
      <w:r w:rsidRPr="002152AC">
        <w:rPr>
          <w:lang w:val="en-GB"/>
        </w:rPr>
        <w:t>-AQM (SOE/P1/E0569) project</w:t>
      </w:r>
      <w:r w:rsidR="00712572">
        <w:rPr>
          <w:lang w:val="en-GB"/>
        </w:rPr>
        <w:t xml:space="preserve"> </w:t>
      </w:r>
      <w:r w:rsidRPr="002152AC">
        <w:rPr>
          <w:lang w:val="en-GB"/>
        </w:rPr>
        <w:t>and volunteers from the Metropolitan Area of Barcelona for using our devices.</w:t>
      </w:r>
    </w:p>
    <w:p w14:paraId="5A13856B" w14:textId="2EFDCDA4" w:rsidR="006B4888" w:rsidRPr="00AA47E2" w:rsidRDefault="00600535" w:rsidP="00091DF8">
      <w:pPr>
        <w:pStyle w:val="CETReference"/>
      </w:pPr>
      <w:r w:rsidRPr="00AA47E2">
        <w:t>References</w:t>
      </w:r>
    </w:p>
    <w:p w14:paraId="19B90EEF" w14:textId="77777777" w:rsidR="00706762" w:rsidRPr="00AA47E2" w:rsidRDefault="00706762" w:rsidP="00712572">
      <w:pPr>
        <w:spacing w:line="240" w:lineRule="auto"/>
        <w:ind w:left="425" w:hanging="425"/>
        <w:rPr>
          <w:rFonts w:cs="Arial"/>
          <w:noProof/>
          <w:szCs w:val="18"/>
        </w:rPr>
      </w:pPr>
      <w:r w:rsidRPr="00AA47E2">
        <w:rPr>
          <w:rFonts w:cs="Arial"/>
          <w:noProof/>
          <w:szCs w:val="18"/>
        </w:rPr>
        <w:t>Arroyo, P.; Lozano, J.; Suárez, J.I. Evolution of Wireless Sensor Network for Air Quality Measurements. Electronics 2018, 7, 342. https://doi.org/10.3390/electronics7120342</w:t>
      </w:r>
    </w:p>
    <w:p w14:paraId="2ECBD9A4" w14:textId="77777777" w:rsidR="008951AD" w:rsidRPr="00AA47E2" w:rsidRDefault="008951AD" w:rsidP="00712572">
      <w:pPr>
        <w:spacing w:line="240" w:lineRule="auto"/>
        <w:ind w:left="425" w:hanging="425"/>
        <w:rPr>
          <w:rFonts w:cs="Arial"/>
          <w:noProof/>
          <w:szCs w:val="18"/>
        </w:rPr>
      </w:pPr>
      <w:r w:rsidRPr="00AA47E2">
        <w:rPr>
          <w:rFonts w:cs="Arial"/>
          <w:noProof/>
          <w:szCs w:val="18"/>
        </w:rPr>
        <w:t>Arroyo, P.; Herrero, J.L.; Suárez, J.I.; Lozano, J. Wireless Sensor Network Combined with Cloud Computing for Air Quality Monitoring. Sensors 2019, 19, 691. https://doi.org/10.3390/s19030691</w:t>
      </w:r>
    </w:p>
    <w:p w14:paraId="3FB7EACA" w14:textId="77777777" w:rsidR="00A4478E" w:rsidRPr="00AA47E2" w:rsidRDefault="00A4478E" w:rsidP="00712572">
      <w:pPr>
        <w:pStyle w:val="CETReference"/>
        <w:spacing w:before="0" w:after="0"/>
        <w:ind w:left="426" w:hanging="426"/>
        <w:rPr>
          <w:rFonts w:cs="Arial"/>
          <w:b w:val="0"/>
          <w:noProof/>
          <w:szCs w:val="18"/>
        </w:rPr>
      </w:pPr>
      <w:r w:rsidRPr="00AA47E2">
        <w:rPr>
          <w:rFonts w:cs="Arial"/>
          <w:b w:val="0"/>
          <w:noProof/>
          <w:szCs w:val="18"/>
        </w:rPr>
        <w:t>Castell, N., Dauge, F. R., Schneider, P., Vogt, M., Lerner, U., Fishbain, B., Broday, D., &amp; Bartonova, A. (2017). Can commercial low-cost sensor platforms contribute to air quality monitoring and exposure estimates? Environment International, 99, 293–302. https://doi.org/10.1016/j.envint.2016.12.007</w:t>
      </w:r>
    </w:p>
    <w:p w14:paraId="0DB7111E" w14:textId="77777777" w:rsidR="00A4478E" w:rsidRPr="00AA47E2" w:rsidRDefault="00A4478E" w:rsidP="00712572">
      <w:pPr>
        <w:pStyle w:val="CETReference"/>
        <w:spacing w:before="0" w:after="0"/>
        <w:ind w:left="426" w:hanging="426"/>
        <w:rPr>
          <w:rFonts w:cs="Arial"/>
          <w:b w:val="0"/>
          <w:noProof/>
          <w:szCs w:val="18"/>
        </w:rPr>
      </w:pPr>
      <w:r w:rsidRPr="00AA47E2">
        <w:rPr>
          <w:rFonts w:cs="Arial"/>
          <w:b w:val="0"/>
          <w:noProof/>
          <w:szCs w:val="18"/>
        </w:rPr>
        <w:t>Cohen, A. J., Brauer, M., Burnett, R., Anderson, H. R., Frostad, J., Estep, K., Balakrishnan, K., Brunekreef, B., Dandona, L., Dandona, R., Feigin, V., Freedman, G., Hubbell, B., Jobling, A., Kan, H., Knibbs, L., Liu, Y., Martin, R., Morawska, L., … Forouzanfar, M. H. (2017). Estimates and 25-year trends of the global burden of disease attributable to ambient air pollution: an analysis of data from the Global Burden of Diseases Study 2015. The Lancet, 389(10082), 1907–1918. https://doi.org/10.1016/S0140-6736(17)30505-6</w:t>
      </w:r>
    </w:p>
    <w:p w14:paraId="4318552F" w14:textId="77777777" w:rsidR="00A4478E" w:rsidRPr="00AA47E2" w:rsidRDefault="00A4478E" w:rsidP="00712572">
      <w:pPr>
        <w:pStyle w:val="CETReference"/>
        <w:spacing w:before="0" w:after="0"/>
        <w:ind w:left="426" w:hanging="426"/>
        <w:rPr>
          <w:rFonts w:cs="Arial"/>
          <w:b w:val="0"/>
          <w:noProof/>
          <w:szCs w:val="18"/>
        </w:rPr>
      </w:pPr>
      <w:r w:rsidRPr="00AA47E2">
        <w:rPr>
          <w:rFonts w:cs="Arial"/>
          <w:b w:val="0"/>
          <w:noProof/>
          <w:szCs w:val="18"/>
        </w:rPr>
        <w:t>Haghi, M., Stoll, R., &amp; Thurow, K. (2018). A Low-Cost, Standalone, and Multi-Tasking Watch for Personalized Environmental Monitoring. IEEE Transactions on Biomedical Circuits and Systems, 12(5), 1144–1154. https://doi.org/10.1109/TBCAS.2018.2840347</w:t>
      </w:r>
    </w:p>
    <w:p w14:paraId="266FA4E1" w14:textId="78D4A82A" w:rsidR="008B566A" w:rsidRPr="00AA47E2" w:rsidRDefault="00BD7D71" w:rsidP="00712572">
      <w:pPr>
        <w:pStyle w:val="CETReference"/>
        <w:spacing w:before="0" w:after="0"/>
        <w:ind w:left="426" w:hanging="426"/>
        <w:rPr>
          <w:rFonts w:cs="Arial"/>
          <w:b w:val="0"/>
          <w:noProof/>
          <w:szCs w:val="18"/>
        </w:rPr>
      </w:pPr>
      <w:r w:rsidRPr="00AA47E2">
        <w:rPr>
          <w:rFonts w:cs="Arial"/>
          <w:b w:val="0"/>
          <w:noProof/>
          <w:szCs w:val="18"/>
        </w:rPr>
        <w:t>W. Z. Khan, Y. Xiang, M. Y. Aalsalem and Q. Arshad, "Mobile Phone Sensing Systems: A Survey," in IEEE Communications Surveys &amp; Tutorials, vol. 15, no. 1, pp. 402-427, First Quarter 2013, doi: 10.1109/SURV.2012.031412.00077.</w:t>
      </w:r>
    </w:p>
    <w:p w14:paraId="1E66CD01" w14:textId="77777777" w:rsidR="0047610C" w:rsidRPr="00AA47E2" w:rsidRDefault="0047610C" w:rsidP="00712572">
      <w:pPr>
        <w:spacing w:line="240" w:lineRule="auto"/>
        <w:ind w:left="426" w:hanging="426"/>
        <w:rPr>
          <w:rFonts w:cs="Arial"/>
          <w:noProof/>
          <w:szCs w:val="18"/>
        </w:rPr>
      </w:pPr>
      <w:r w:rsidRPr="00B3621A">
        <w:rPr>
          <w:rFonts w:cs="Arial"/>
          <w:noProof/>
          <w:szCs w:val="18"/>
          <w:lang w:val="es-ES"/>
        </w:rPr>
        <w:t xml:space="preserve">Laport-López, F., Serrano, E., Bajo, J. et al. </w:t>
      </w:r>
      <w:r w:rsidRPr="00AA47E2">
        <w:rPr>
          <w:rFonts w:cs="Arial"/>
          <w:noProof/>
          <w:szCs w:val="18"/>
        </w:rPr>
        <w:t>A review of mobile sensing systems, applications, and opportunities. Knowl Inf Syst 62, 145–174 (2020). https://doi.org/10.1007/s10115-019-01346-1</w:t>
      </w:r>
    </w:p>
    <w:p w14:paraId="1788C923" w14:textId="4CA325E9" w:rsidR="00A4478E" w:rsidRPr="00AA47E2" w:rsidRDefault="00A4478E" w:rsidP="00712572">
      <w:pPr>
        <w:pStyle w:val="CETReference"/>
        <w:spacing w:before="0" w:after="0"/>
        <w:ind w:left="426" w:hanging="426"/>
        <w:rPr>
          <w:rFonts w:cs="Arial"/>
          <w:b w:val="0"/>
          <w:noProof/>
          <w:szCs w:val="18"/>
        </w:rPr>
      </w:pPr>
      <w:r w:rsidRPr="00AA47E2">
        <w:rPr>
          <w:rFonts w:cs="Arial"/>
          <w:b w:val="0"/>
          <w:noProof/>
          <w:szCs w:val="18"/>
        </w:rPr>
        <w:t>Lung, C., Jones, R., Zellweger, C., Karppinen, A., Penza, M., Dye, T., Hüglin, C., Ning, Z., Leigh, R., Hagan, D. H., Laurent, O., &amp; Carmichael, G. (2018). Low-cost sensors for the measurement of atmospheric composition: overview of topic and future applications. In Wmo (Issue May). http://www.wmo.int/pages/prog/arep/gaw/documents/Draft_low_cost_sensors.pdf</w:t>
      </w:r>
    </w:p>
    <w:p w14:paraId="19C4FC68" w14:textId="127F0F78" w:rsidR="004628D2" w:rsidRPr="00B3621A" w:rsidRDefault="008B566A" w:rsidP="00B3621A">
      <w:pPr>
        <w:pStyle w:val="CETReference"/>
        <w:spacing w:before="0" w:after="0"/>
        <w:ind w:left="426" w:hanging="426"/>
        <w:rPr>
          <w:rFonts w:cs="Arial"/>
          <w:b w:val="0"/>
          <w:noProof/>
          <w:szCs w:val="18"/>
          <w:lang w:val="es-ES"/>
        </w:rPr>
      </w:pPr>
      <w:r w:rsidRPr="00AA47E2">
        <w:rPr>
          <w:rFonts w:cs="Arial"/>
          <w:b w:val="0"/>
          <w:noProof/>
          <w:szCs w:val="18"/>
        </w:rPr>
        <w:t xml:space="preserve">Macias, E.; Suarez, A.; Lloret, J. Mobile sensing systems. </w:t>
      </w:r>
      <w:r w:rsidRPr="00B3621A">
        <w:rPr>
          <w:rFonts w:cs="Arial"/>
          <w:b w:val="0"/>
          <w:noProof/>
          <w:szCs w:val="18"/>
          <w:lang w:val="es-ES"/>
        </w:rPr>
        <w:t>Sensors (Switzerland) 2013, 13, 17292–17321.</w:t>
      </w:r>
    </w:p>
    <w:sectPr w:rsidR="004628D2" w:rsidRPr="00B3621A"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84EA6" w14:textId="77777777" w:rsidR="00BF425F" w:rsidRDefault="00BF425F" w:rsidP="004F5E36">
      <w:r>
        <w:separator/>
      </w:r>
    </w:p>
  </w:endnote>
  <w:endnote w:type="continuationSeparator" w:id="0">
    <w:p w14:paraId="264F61F0" w14:textId="77777777" w:rsidR="00BF425F" w:rsidRDefault="00BF425F" w:rsidP="004F5E36">
      <w:r>
        <w:continuationSeparator/>
      </w:r>
    </w:p>
  </w:endnote>
  <w:endnote w:type="continuationNotice" w:id="1">
    <w:p w14:paraId="44A3E38C" w14:textId="77777777" w:rsidR="00BF425F" w:rsidRDefault="00BF42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634BA" w14:textId="77777777" w:rsidR="00BF425F" w:rsidRDefault="00BF425F" w:rsidP="004F5E36">
      <w:r>
        <w:separator/>
      </w:r>
    </w:p>
  </w:footnote>
  <w:footnote w:type="continuationSeparator" w:id="0">
    <w:p w14:paraId="72BA188E" w14:textId="77777777" w:rsidR="00BF425F" w:rsidRDefault="00BF425F" w:rsidP="004F5E36">
      <w:r>
        <w:continuationSeparator/>
      </w:r>
    </w:p>
  </w:footnote>
  <w:footnote w:type="continuationNotice" w:id="1">
    <w:p w14:paraId="697FCDD0" w14:textId="77777777" w:rsidR="00BF425F" w:rsidRDefault="00BF425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6150459">
    <w:abstractNumId w:val="10"/>
  </w:num>
  <w:num w:numId="2" w16cid:durableId="583730265">
    <w:abstractNumId w:val="8"/>
  </w:num>
  <w:num w:numId="3" w16cid:durableId="475494466">
    <w:abstractNumId w:val="3"/>
  </w:num>
  <w:num w:numId="4" w16cid:durableId="357048038">
    <w:abstractNumId w:val="2"/>
  </w:num>
  <w:num w:numId="5" w16cid:durableId="1364285887">
    <w:abstractNumId w:val="1"/>
  </w:num>
  <w:num w:numId="6" w16cid:durableId="951353062">
    <w:abstractNumId w:val="0"/>
  </w:num>
  <w:num w:numId="7" w16cid:durableId="223297805">
    <w:abstractNumId w:val="9"/>
  </w:num>
  <w:num w:numId="8" w16cid:durableId="834222283">
    <w:abstractNumId w:val="7"/>
  </w:num>
  <w:num w:numId="9" w16cid:durableId="1380975835">
    <w:abstractNumId w:val="6"/>
  </w:num>
  <w:num w:numId="10" w16cid:durableId="961957923">
    <w:abstractNumId w:val="5"/>
  </w:num>
  <w:num w:numId="11" w16cid:durableId="285935424">
    <w:abstractNumId w:val="4"/>
  </w:num>
  <w:num w:numId="12" w16cid:durableId="1816723554">
    <w:abstractNumId w:val="17"/>
  </w:num>
  <w:num w:numId="13" w16cid:durableId="1385911669">
    <w:abstractNumId w:val="12"/>
  </w:num>
  <w:num w:numId="14" w16cid:durableId="1480654932">
    <w:abstractNumId w:val="18"/>
  </w:num>
  <w:num w:numId="15" w16cid:durableId="1219436160">
    <w:abstractNumId w:val="20"/>
  </w:num>
  <w:num w:numId="16" w16cid:durableId="187378529">
    <w:abstractNumId w:val="19"/>
  </w:num>
  <w:num w:numId="17" w16cid:durableId="1094009108">
    <w:abstractNumId w:val="11"/>
  </w:num>
  <w:num w:numId="18" w16cid:durableId="1494101725">
    <w:abstractNumId w:val="12"/>
    <w:lvlOverride w:ilvl="0">
      <w:startOverride w:val="1"/>
    </w:lvlOverride>
  </w:num>
  <w:num w:numId="19" w16cid:durableId="1141845009">
    <w:abstractNumId w:val="16"/>
  </w:num>
  <w:num w:numId="20" w16cid:durableId="1826899779">
    <w:abstractNumId w:val="15"/>
  </w:num>
  <w:num w:numId="21" w16cid:durableId="1227686687">
    <w:abstractNumId w:val="14"/>
  </w:num>
  <w:num w:numId="22" w16cid:durableId="19123038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716B"/>
    <w:rsid w:val="00017EA7"/>
    <w:rsid w:val="0003148D"/>
    <w:rsid w:val="00031EEC"/>
    <w:rsid w:val="000445E4"/>
    <w:rsid w:val="00051566"/>
    <w:rsid w:val="00062A9A"/>
    <w:rsid w:val="00063223"/>
    <w:rsid w:val="00065058"/>
    <w:rsid w:val="00072204"/>
    <w:rsid w:val="000849FA"/>
    <w:rsid w:val="00086C39"/>
    <w:rsid w:val="00086E9E"/>
    <w:rsid w:val="00091DF8"/>
    <w:rsid w:val="000A03B2"/>
    <w:rsid w:val="000A2F3D"/>
    <w:rsid w:val="000B0892"/>
    <w:rsid w:val="000B6B3B"/>
    <w:rsid w:val="000C1F97"/>
    <w:rsid w:val="000D0268"/>
    <w:rsid w:val="000D34BE"/>
    <w:rsid w:val="000E102F"/>
    <w:rsid w:val="000E36F1"/>
    <w:rsid w:val="000E3A73"/>
    <w:rsid w:val="000E414A"/>
    <w:rsid w:val="000F093C"/>
    <w:rsid w:val="000F3B60"/>
    <w:rsid w:val="000F787B"/>
    <w:rsid w:val="00115796"/>
    <w:rsid w:val="0012091F"/>
    <w:rsid w:val="00126BC2"/>
    <w:rsid w:val="001308B6"/>
    <w:rsid w:val="0013121F"/>
    <w:rsid w:val="00131FE6"/>
    <w:rsid w:val="0013263F"/>
    <w:rsid w:val="001331DF"/>
    <w:rsid w:val="001338ED"/>
    <w:rsid w:val="00134DE4"/>
    <w:rsid w:val="0014034D"/>
    <w:rsid w:val="00144D16"/>
    <w:rsid w:val="00150E59"/>
    <w:rsid w:val="00152DE3"/>
    <w:rsid w:val="001551F3"/>
    <w:rsid w:val="001637BA"/>
    <w:rsid w:val="00164CF9"/>
    <w:rsid w:val="001667A6"/>
    <w:rsid w:val="00167F5F"/>
    <w:rsid w:val="00184AD6"/>
    <w:rsid w:val="00192759"/>
    <w:rsid w:val="00193412"/>
    <w:rsid w:val="001939DE"/>
    <w:rsid w:val="001A4AF7"/>
    <w:rsid w:val="001B0349"/>
    <w:rsid w:val="001B147A"/>
    <w:rsid w:val="001B1E93"/>
    <w:rsid w:val="001B2771"/>
    <w:rsid w:val="001B65C1"/>
    <w:rsid w:val="001C684B"/>
    <w:rsid w:val="001D0CFB"/>
    <w:rsid w:val="001D21AF"/>
    <w:rsid w:val="001D53FC"/>
    <w:rsid w:val="001F033D"/>
    <w:rsid w:val="001F3B39"/>
    <w:rsid w:val="001F42A5"/>
    <w:rsid w:val="001F7B9D"/>
    <w:rsid w:val="00201C93"/>
    <w:rsid w:val="0021263E"/>
    <w:rsid w:val="002152AC"/>
    <w:rsid w:val="00216DE8"/>
    <w:rsid w:val="002176D6"/>
    <w:rsid w:val="002224B4"/>
    <w:rsid w:val="002447EF"/>
    <w:rsid w:val="00251550"/>
    <w:rsid w:val="00253A6C"/>
    <w:rsid w:val="00260252"/>
    <w:rsid w:val="00263B05"/>
    <w:rsid w:val="00264653"/>
    <w:rsid w:val="0026720B"/>
    <w:rsid w:val="0027221A"/>
    <w:rsid w:val="00275B61"/>
    <w:rsid w:val="00280FAF"/>
    <w:rsid w:val="002825CB"/>
    <w:rsid w:val="00282656"/>
    <w:rsid w:val="00296B83"/>
    <w:rsid w:val="002A226A"/>
    <w:rsid w:val="002B02D0"/>
    <w:rsid w:val="002B4015"/>
    <w:rsid w:val="002B5086"/>
    <w:rsid w:val="002B522E"/>
    <w:rsid w:val="002B78CE"/>
    <w:rsid w:val="002C2E34"/>
    <w:rsid w:val="002C2FB6"/>
    <w:rsid w:val="002D61AD"/>
    <w:rsid w:val="002E5FA7"/>
    <w:rsid w:val="002F3309"/>
    <w:rsid w:val="003008CE"/>
    <w:rsid w:val="003009B7"/>
    <w:rsid w:val="00300E56"/>
    <w:rsid w:val="0030469C"/>
    <w:rsid w:val="003149A9"/>
    <w:rsid w:val="00321CA6"/>
    <w:rsid w:val="00323763"/>
    <w:rsid w:val="00323C5F"/>
    <w:rsid w:val="0033009E"/>
    <w:rsid w:val="0033447D"/>
    <w:rsid w:val="00334C09"/>
    <w:rsid w:val="003360E9"/>
    <w:rsid w:val="00337DB1"/>
    <w:rsid w:val="003401A4"/>
    <w:rsid w:val="003430BC"/>
    <w:rsid w:val="003723D4"/>
    <w:rsid w:val="00373063"/>
    <w:rsid w:val="00376BAE"/>
    <w:rsid w:val="00377FCD"/>
    <w:rsid w:val="00381905"/>
    <w:rsid w:val="00384CC8"/>
    <w:rsid w:val="003871FD"/>
    <w:rsid w:val="0039318E"/>
    <w:rsid w:val="0039452D"/>
    <w:rsid w:val="003A1E30"/>
    <w:rsid w:val="003A2829"/>
    <w:rsid w:val="003A4E21"/>
    <w:rsid w:val="003A7D1C"/>
    <w:rsid w:val="003B304B"/>
    <w:rsid w:val="003B3146"/>
    <w:rsid w:val="003B5AB4"/>
    <w:rsid w:val="003C5F85"/>
    <w:rsid w:val="003D10D1"/>
    <w:rsid w:val="003D7DF7"/>
    <w:rsid w:val="003E03D1"/>
    <w:rsid w:val="003F015E"/>
    <w:rsid w:val="003F12EA"/>
    <w:rsid w:val="003F3B22"/>
    <w:rsid w:val="00400414"/>
    <w:rsid w:val="004131F0"/>
    <w:rsid w:val="0041446B"/>
    <w:rsid w:val="00420CDE"/>
    <w:rsid w:val="00423770"/>
    <w:rsid w:val="00430DE5"/>
    <w:rsid w:val="00437C45"/>
    <w:rsid w:val="0044071E"/>
    <w:rsid w:val="00441864"/>
    <w:rsid w:val="0044329C"/>
    <w:rsid w:val="0044478D"/>
    <w:rsid w:val="0044709D"/>
    <w:rsid w:val="004513C5"/>
    <w:rsid w:val="00453E24"/>
    <w:rsid w:val="00454726"/>
    <w:rsid w:val="00457456"/>
    <w:rsid w:val="004577FE"/>
    <w:rsid w:val="00457B9C"/>
    <w:rsid w:val="0046164A"/>
    <w:rsid w:val="004628D2"/>
    <w:rsid w:val="00462DCD"/>
    <w:rsid w:val="004648AD"/>
    <w:rsid w:val="004703A9"/>
    <w:rsid w:val="004760DE"/>
    <w:rsid w:val="0047610C"/>
    <w:rsid w:val="004763D7"/>
    <w:rsid w:val="00481533"/>
    <w:rsid w:val="00492091"/>
    <w:rsid w:val="00492292"/>
    <w:rsid w:val="004927C7"/>
    <w:rsid w:val="00493A7F"/>
    <w:rsid w:val="004A004E"/>
    <w:rsid w:val="004A24CF"/>
    <w:rsid w:val="004B055A"/>
    <w:rsid w:val="004C3D1D"/>
    <w:rsid w:val="004C3D84"/>
    <w:rsid w:val="004C5A19"/>
    <w:rsid w:val="004C7913"/>
    <w:rsid w:val="004C7ED2"/>
    <w:rsid w:val="004E4DD6"/>
    <w:rsid w:val="004E6AF0"/>
    <w:rsid w:val="004E72A5"/>
    <w:rsid w:val="004F5919"/>
    <w:rsid w:val="004F5E36"/>
    <w:rsid w:val="005023F4"/>
    <w:rsid w:val="00507B47"/>
    <w:rsid w:val="00507BEF"/>
    <w:rsid w:val="00507CC9"/>
    <w:rsid w:val="005119A5"/>
    <w:rsid w:val="0051387B"/>
    <w:rsid w:val="005170A8"/>
    <w:rsid w:val="00524231"/>
    <w:rsid w:val="005278B7"/>
    <w:rsid w:val="005318D0"/>
    <w:rsid w:val="00532016"/>
    <w:rsid w:val="005346C8"/>
    <w:rsid w:val="00543E7D"/>
    <w:rsid w:val="00547A68"/>
    <w:rsid w:val="005531C9"/>
    <w:rsid w:val="00554075"/>
    <w:rsid w:val="005641DA"/>
    <w:rsid w:val="00570C43"/>
    <w:rsid w:val="00576FE0"/>
    <w:rsid w:val="005863B8"/>
    <w:rsid w:val="00593387"/>
    <w:rsid w:val="00597161"/>
    <w:rsid w:val="005B2110"/>
    <w:rsid w:val="005B61E6"/>
    <w:rsid w:val="005B73E0"/>
    <w:rsid w:val="005C5F48"/>
    <w:rsid w:val="005C768C"/>
    <w:rsid w:val="005C77E1"/>
    <w:rsid w:val="005D2C13"/>
    <w:rsid w:val="005D668A"/>
    <w:rsid w:val="005D6A2F"/>
    <w:rsid w:val="005D6DAE"/>
    <w:rsid w:val="005E1A82"/>
    <w:rsid w:val="005E794C"/>
    <w:rsid w:val="005F0A28"/>
    <w:rsid w:val="005F0E5E"/>
    <w:rsid w:val="005F6AA1"/>
    <w:rsid w:val="00600535"/>
    <w:rsid w:val="00602E2B"/>
    <w:rsid w:val="00603B16"/>
    <w:rsid w:val="0061011C"/>
    <w:rsid w:val="00610CD6"/>
    <w:rsid w:val="00613479"/>
    <w:rsid w:val="00620DEE"/>
    <w:rsid w:val="00621F92"/>
    <w:rsid w:val="006221BE"/>
    <w:rsid w:val="0062280A"/>
    <w:rsid w:val="00625639"/>
    <w:rsid w:val="00625B0B"/>
    <w:rsid w:val="00631B33"/>
    <w:rsid w:val="0064184D"/>
    <w:rsid w:val="006422CC"/>
    <w:rsid w:val="00653DC5"/>
    <w:rsid w:val="00657DD2"/>
    <w:rsid w:val="00660E3E"/>
    <w:rsid w:val="00662E74"/>
    <w:rsid w:val="006736B7"/>
    <w:rsid w:val="0067507B"/>
    <w:rsid w:val="006758E0"/>
    <w:rsid w:val="00680C23"/>
    <w:rsid w:val="00683D83"/>
    <w:rsid w:val="00685292"/>
    <w:rsid w:val="00693766"/>
    <w:rsid w:val="00696182"/>
    <w:rsid w:val="006A3281"/>
    <w:rsid w:val="006A3D3F"/>
    <w:rsid w:val="006A3DED"/>
    <w:rsid w:val="006A7383"/>
    <w:rsid w:val="006B4888"/>
    <w:rsid w:val="006B5FE2"/>
    <w:rsid w:val="006C2E45"/>
    <w:rsid w:val="006C359C"/>
    <w:rsid w:val="006C5579"/>
    <w:rsid w:val="006C5B8C"/>
    <w:rsid w:val="006D0BCE"/>
    <w:rsid w:val="006D6E8B"/>
    <w:rsid w:val="006E5CE5"/>
    <w:rsid w:val="006E737D"/>
    <w:rsid w:val="006F7D25"/>
    <w:rsid w:val="00700882"/>
    <w:rsid w:val="00706762"/>
    <w:rsid w:val="00707C8C"/>
    <w:rsid w:val="00711E1E"/>
    <w:rsid w:val="00712572"/>
    <w:rsid w:val="00713973"/>
    <w:rsid w:val="00714B56"/>
    <w:rsid w:val="00720A24"/>
    <w:rsid w:val="00723964"/>
    <w:rsid w:val="007242FE"/>
    <w:rsid w:val="00725AEE"/>
    <w:rsid w:val="007275D7"/>
    <w:rsid w:val="00732386"/>
    <w:rsid w:val="0073448C"/>
    <w:rsid w:val="0073514D"/>
    <w:rsid w:val="00740A10"/>
    <w:rsid w:val="007447F3"/>
    <w:rsid w:val="0075499F"/>
    <w:rsid w:val="00765A1C"/>
    <w:rsid w:val="007661C8"/>
    <w:rsid w:val="0077098D"/>
    <w:rsid w:val="00771C97"/>
    <w:rsid w:val="00775A36"/>
    <w:rsid w:val="007844A9"/>
    <w:rsid w:val="007868BA"/>
    <w:rsid w:val="007931FA"/>
    <w:rsid w:val="007A4861"/>
    <w:rsid w:val="007A65BD"/>
    <w:rsid w:val="007A7BBA"/>
    <w:rsid w:val="007B0864"/>
    <w:rsid w:val="007B0C50"/>
    <w:rsid w:val="007B48F9"/>
    <w:rsid w:val="007B6FC5"/>
    <w:rsid w:val="007B7BCF"/>
    <w:rsid w:val="007C1800"/>
    <w:rsid w:val="007C1A43"/>
    <w:rsid w:val="007D5739"/>
    <w:rsid w:val="007F0BD0"/>
    <w:rsid w:val="0080013E"/>
    <w:rsid w:val="00802710"/>
    <w:rsid w:val="00813264"/>
    <w:rsid w:val="00813288"/>
    <w:rsid w:val="008168FC"/>
    <w:rsid w:val="0082403C"/>
    <w:rsid w:val="00830996"/>
    <w:rsid w:val="008345F1"/>
    <w:rsid w:val="008413A2"/>
    <w:rsid w:val="008414F6"/>
    <w:rsid w:val="00864A52"/>
    <w:rsid w:val="00865B07"/>
    <w:rsid w:val="008667EA"/>
    <w:rsid w:val="0087637F"/>
    <w:rsid w:val="00882873"/>
    <w:rsid w:val="00892AD5"/>
    <w:rsid w:val="008951AD"/>
    <w:rsid w:val="00897B86"/>
    <w:rsid w:val="008A1512"/>
    <w:rsid w:val="008A7E76"/>
    <w:rsid w:val="008B0487"/>
    <w:rsid w:val="008B566A"/>
    <w:rsid w:val="008C3AAF"/>
    <w:rsid w:val="008D32B9"/>
    <w:rsid w:val="008D433B"/>
    <w:rsid w:val="008D4A16"/>
    <w:rsid w:val="008D5AB4"/>
    <w:rsid w:val="008E0062"/>
    <w:rsid w:val="008E4A72"/>
    <w:rsid w:val="008E566E"/>
    <w:rsid w:val="008E7BF1"/>
    <w:rsid w:val="008F679A"/>
    <w:rsid w:val="0090161A"/>
    <w:rsid w:val="00901EB6"/>
    <w:rsid w:val="00904C62"/>
    <w:rsid w:val="00906442"/>
    <w:rsid w:val="00911049"/>
    <w:rsid w:val="00922AF6"/>
    <w:rsid w:val="00922BA8"/>
    <w:rsid w:val="00924DAC"/>
    <w:rsid w:val="00927058"/>
    <w:rsid w:val="00936A20"/>
    <w:rsid w:val="009370AC"/>
    <w:rsid w:val="00940106"/>
    <w:rsid w:val="00942750"/>
    <w:rsid w:val="00942E36"/>
    <w:rsid w:val="009450CE"/>
    <w:rsid w:val="009452EB"/>
    <w:rsid w:val="00947179"/>
    <w:rsid w:val="0095164B"/>
    <w:rsid w:val="00951EFC"/>
    <w:rsid w:val="009532FF"/>
    <w:rsid w:val="00954090"/>
    <w:rsid w:val="009553FD"/>
    <w:rsid w:val="009573E7"/>
    <w:rsid w:val="00963E05"/>
    <w:rsid w:val="00964A45"/>
    <w:rsid w:val="00967843"/>
    <w:rsid w:val="00967D54"/>
    <w:rsid w:val="00971028"/>
    <w:rsid w:val="00973300"/>
    <w:rsid w:val="00973882"/>
    <w:rsid w:val="00981B14"/>
    <w:rsid w:val="0098466B"/>
    <w:rsid w:val="00993B84"/>
    <w:rsid w:val="00996483"/>
    <w:rsid w:val="00996F5A"/>
    <w:rsid w:val="009A0A0E"/>
    <w:rsid w:val="009A632E"/>
    <w:rsid w:val="009A6F3D"/>
    <w:rsid w:val="009B041A"/>
    <w:rsid w:val="009B52FD"/>
    <w:rsid w:val="009C37C3"/>
    <w:rsid w:val="009C3872"/>
    <w:rsid w:val="009C7C86"/>
    <w:rsid w:val="009D2FF7"/>
    <w:rsid w:val="009E5202"/>
    <w:rsid w:val="009E7884"/>
    <w:rsid w:val="009E788A"/>
    <w:rsid w:val="009F0E08"/>
    <w:rsid w:val="009F3579"/>
    <w:rsid w:val="00A1169D"/>
    <w:rsid w:val="00A1763D"/>
    <w:rsid w:val="00A17CEC"/>
    <w:rsid w:val="00A22F9B"/>
    <w:rsid w:val="00A27EF0"/>
    <w:rsid w:val="00A42361"/>
    <w:rsid w:val="00A43605"/>
    <w:rsid w:val="00A4478E"/>
    <w:rsid w:val="00A47EC1"/>
    <w:rsid w:val="00A50B20"/>
    <w:rsid w:val="00A50FE7"/>
    <w:rsid w:val="00A51390"/>
    <w:rsid w:val="00A57964"/>
    <w:rsid w:val="00A60D13"/>
    <w:rsid w:val="00A6161A"/>
    <w:rsid w:val="00A7223D"/>
    <w:rsid w:val="00A72745"/>
    <w:rsid w:val="00A72E7F"/>
    <w:rsid w:val="00A7678F"/>
    <w:rsid w:val="00A76EFC"/>
    <w:rsid w:val="00A839DF"/>
    <w:rsid w:val="00A86FC1"/>
    <w:rsid w:val="00A91010"/>
    <w:rsid w:val="00A97528"/>
    <w:rsid w:val="00A97F29"/>
    <w:rsid w:val="00AA4505"/>
    <w:rsid w:val="00AA47E2"/>
    <w:rsid w:val="00AA702E"/>
    <w:rsid w:val="00AB0964"/>
    <w:rsid w:val="00AB5011"/>
    <w:rsid w:val="00AB5F4F"/>
    <w:rsid w:val="00AC7368"/>
    <w:rsid w:val="00AD16B9"/>
    <w:rsid w:val="00AE377D"/>
    <w:rsid w:val="00AF0BEF"/>
    <w:rsid w:val="00AF0EBA"/>
    <w:rsid w:val="00B02C8A"/>
    <w:rsid w:val="00B0794E"/>
    <w:rsid w:val="00B1771C"/>
    <w:rsid w:val="00B17FBD"/>
    <w:rsid w:val="00B20928"/>
    <w:rsid w:val="00B22812"/>
    <w:rsid w:val="00B30FFE"/>
    <w:rsid w:val="00B315A6"/>
    <w:rsid w:val="00B31813"/>
    <w:rsid w:val="00B33365"/>
    <w:rsid w:val="00B341B8"/>
    <w:rsid w:val="00B3621A"/>
    <w:rsid w:val="00B57B36"/>
    <w:rsid w:val="00B57E6F"/>
    <w:rsid w:val="00B61262"/>
    <w:rsid w:val="00B75627"/>
    <w:rsid w:val="00B8007B"/>
    <w:rsid w:val="00B8686D"/>
    <w:rsid w:val="00B93F69"/>
    <w:rsid w:val="00BB1DDC"/>
    <w:rsid w:val="00BB5F23"/>
    <w:rsid w:val="00BB6CF8"/>
    <w:rsid w:val="00BC30C9"/>
    <w:rsid w:val="00BD077D"/>
    <w:rsid w:val="00BD0D06"/>
    <w:rsid w:val="00BD1F65"/>
    <w:rsid w:val="00BD7D71"/>
    <w:rsid w:val="00BE115B"/>
    <w:rsid w:val="00BE3E58"/>
    <w:rsid w:val="00BF425F"/>
    <w:rsid w:val="00C01616"/>
    <w:rsid w:val="00C0162B"/>
    <w:rsid w:val="00C02EB2"/>
    <w:rsid w:val="00C04B57"/>
    <w:rsid w:val="00C068ED"/>
    <w:rsid w:val="00C22E0C"/>
    <w:rsid w:val="00C33385"/>
    <w:rsid w:val="00C345B1"/>
    <w:rsid w:val="00C40142"/>
    <w:rsid w:val="00C52C3C"/>
    <w:rsid w:val="00C57182"/>
    <w:rsid w:val="00C57863"/>
    <w:rsid w:val="00C57D9F"/>
    <w:rsid w:val="00C640AF"/>
    <w:rsid w:val="00C655FD"/>
    <w:rsid w:val="00C73BAF"/>
    <w:rsid w:val="00C74A20"/>
    <w:rsid w:val="00C74B37"/>
    <w:rsid w:val="00C75407"/>
    <w:rsid w:val="00C76BA4"/>
    <w:rsid w:val="00C870A8"/>
    <w:rsid w:val="00C94434"/>
    <w:rsid w:val="00C97365"/>
    <w:rsid w:val="00CA0D75"/>
    <w:rsid w:val="00CA1C95"/>
    <w:rsid w:val="00CA5A9C"/>
    <w:rsid w:val="00CB3F07"/>
    <w:rsid w:val="00CC4C20"/>
    <w:rsid w:val="00CD3517"/>
    <w:rsid w:val="00CD5FE2"/>
    <w:rsid w:val="00CE7C68"/>
    <w:rsid w:val="00CF512D"/>
    <w:rsid w:val="00D02B4C"/>
    <w:rsid w:val="00D040C4"/>
    <w:rsid w:val="00D1492F"/>
    <w:rsid w:val="00D20AD1"/>
    <w:rsid w:val="00D23365"/>
    <w:rsid w:val="00D32733"/>
    <w:rsid w:val="00D46B7E"/>
    <w:rsid w:val="00D51C02"/>
    <w:rsid w:val="00D51E18"/>
    <w:rsid w:val="00D57C84"/>
    <w:rsid w:val="00D6057D"/>
    <w:rsid w:val="00D607EB"/>
    <w:rsid w:val="00D646C4"/>
    <w:rsid w:val="00D71640"/>
    <w:rsid w:val="00D836C5"/>
    <w:rsid w:val="00D84576"/>
    <w:rsid w:val="00D92763"/>
    <w:rsid w:val="00D939BC"/>
    <w:rsid w:val="00D9712E"/>
    <w:rsid w:val="00DA1399"/>
    <w:rsid w:val="00DA24C6"/>
    <w:rsid w:val="00DA2A37"/>
    <w:rsid w:val="00DA4D7B"/>
    <w:rsid w:val="00DA6D02"/>
    <w:rsid w:val="00DB0AD8"/>
    <w:rsid w:val="00DB0ADC"/>
    <w:rsid w:val="00DD19D0"/>
    <w:rsid w:val="00DD271C"/>
    <w:rsid w:val="00DD3085"/>
    <w:rsid w:val="00DD6101"/>
    <w:rsid w:val="00DD7BCE"/>
    <w:rsid w:val="00DE078D"/>
    <w:rsid w:val="00DE264A"/>
    <w:rsid w:val="00DE521C"/>
    <w:rsid w:val="00DF5072"/>
    <w:rsid w:val="00DF508F"/>
    <w:rsid w:val="00E02D18"/>
    <w:rsid w:val="00E041E7"/>
    <w:rsid w:val="00E05B77"/>
    <w:rsid w:val="00E077C8"/>
    <w:rsid w:val="00E16155"/>
    <w:rsid w:val="00E21177"/>
    <w:rsid w:val="00E23CA1"/>
    <w:rsid w:val="00E2773D"/>
    <w:rsid w:val="00E409A8"/>
    <w:rsid w:val="00E4529D"/>
    <w:rsid w:val="00E469CE"/>
    <w:rsid w:val="00E50C12"/>
    <w:rsid w:val="00E530B5"/>
    <w:rsid w:val="00E60F93"/>
    <w:rsid w:val="00E65B91"/>
    <w:rsid w:val="00E71298"/>
    <w:rsid w:val="00E7209D"/>
    <w:rsid w:val="00E72EAD"/>
    <w:rsid w:val="00E77223"/>
    <w:rsid w:val="00E85138"/>
    <w:rsid w:val="00E8528B"/>
    <w:rsid w:val="00E85B94"/>
    <w:rsid w:val="00E91A0D"/>
    <w:rsid w:val="00E96750"/>
    <w:rsid w:val="00E978D0"/>
    <w:rsid w:val="00EA1149"/>
    <w:rsid w:val="00EA4613"/>
    <w:rsid w:val="00EA52D7"/>
    <w:rsid w:val="00EA7F91"/>
    <w:rsid w:val="00EB1523"/>
    <w:rsid w:val="00EC0924"/>
    <w:rsid w:val="00EC0E49"/>
    <w:rsid w:val="00EC101F"/>
    <w:rsid w:val="00EC1D9F"/>
    <w:rsid w:val="00EE0131"/>
    <w:rsid w:val="00EE17B0"/>
    <w:rsid w:val="00EE6C4F"/>
    <w:rsid w:val="00EF06D9"/>
    <w:rsid w:val="00F00BC4"/>
    <w:rsid w:val="00F120CE"/>
    <w:rsid w:val="00F271BA"/>
    <w:rsid w:val="00F3046A"/>
    <w:rsid w:val="00F30C64"/>
    <w:rsid w:val="00F312BE"/>
    <w:rsid w:val="00F32BA2"/>
    <w:rsid w:val="00F32CDB"/>
    <w:rsid w:val="00F47832"/>
    <w:rsid w:val="00F565FE"/>
    <w:rsid w:val="00F63A70"/>
    <w:rsid w:val="00F63D8C"/>
    <w:rsid w:val="00F7534E"/>
    <w:rsid w:val="00F8283B"/>
    <w:rsid w:val="00F85F68"/>
    <w:rsid w:val="00F87F12"/>
    <w:rsid w:val="00FA13B6"/>
    <w:rsid w:val="00FA1802"/>
    <w:rsid w:val="00FA21D0"/>
    <w:rsid w:val="00FA3805"/>
    <w:rsid w:val="00FA5F5F"/>
    <w:rsid w:val="00FA7F77"/>
    <w:rsid w:val="00FB730C"/>
    <w:rsid w:val="00FC2695"/>
    <w:rsid w:val="00FC3E03"/>
    <w:rsid w:val="00FC3FC1"/>
    <w:rsid w:val="00FC686E"/>
    <w:rsid w:val="00FC7CDD"/>
    <w:rsid w:val="00FD3B52"/>
    <w:rsid w:val="00FD6659"/>
    <w:rsid w:val="00FE4003"/>
    <w:rsid w:val="00FF23E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E3A4559D-E27E-4C72-8B4B-2C04E6A3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8"/>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styleId="Mencinsinresolver">
    <w:name w:val="Unresolved Mention"/>
    <w:basedOn w:val="Fuentedeprrafopredeter"/>
    <w:uiPriority w:val="99"/>
    <w:semiHidden/>
    <w:unhideWhenUsed/>
    <w:rsid w:val="00441864"/>
    <w:rPr>
      <w:color w:val="605E5C"/>
      <w:shd w:val="clear" w:color="auto" w:fill="E1DFDD"/>
    </w:rPr>
  </w:style>
  <w:style w:type="paragraph" w:styleId="Revisin">
    <w:name w:val="Revision"/>
    <w:hidden/>
    <w:uiPriority w:val="99"/>
    <w:semiHidden/>
    <w:rsid w:val="00AA47E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53733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921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521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jesuslozano@unex.es"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5157</Words>
  <Characters>28366</Characters>
  <Application>Microsoft Office Word</Application>
  <DocSecurity>4</DocSecurity>
  <Lines>236</Lines>
  <Paragraphs>66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33457</CharactersWithSpaces>
  <SharedDoc>false</SharedDoc>
  <HLinks>
    <vt:vector size="6" baseType="variant">
      <vt:variant>
        <vt:i4>2359313</vt:i4>
      </vt:variant>
      <vt:variant>
        <vt:i4>0</vt:i4>
      </vt:variant>
      <vt:variant>
        <vt:i4>0</vt:i4>
      </vt:variant>
      <vt:variant>
        <vt:i4>5</vt:i4>
      </vt:variant>
      <vt:variant>
        <vt:lpwstr>mailto:jesuslozano@unex.es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SERGIO  PALOMEQUE MANGUT</cp:lastModifiedBy>
  <cp:revision>48</cp:revision>
  <cp:lastPrinted>2022-05-01T06:57:00Z</cp:lastPrinted>
  <dcterms:created xsi:type="dcterms:W3CDTF">2022-05-01T07:22:00Z</dcterms:created>
  <dcterms:modified xsi:type="dcterms:W3CDTF">2022-06-17T11:04:00Z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http://www.zotero.org/styles/elsevier-with-titles</vt:lpwstr>
  </property>
  <property fmtid="{D5CDD505-2E9C-101B-9397-08002B2CF9AE}" pid="15" name="Mendeley Recent Style Name 5_1">
    <vt:lpwstr>Elsevier (numeric, with titles)</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7f22d2e0-a5ec-37e0-ac4a-e48fabce7668</vt:lpwstr>
  </property>
  <property fmtid="{D5CDD505-2E9C-101B-9397-08002B2CF9AE}" pid="26" name="Mendeley Citation Style_1">
    <vt:lpwstr>http://www.zotero.org/styles/apa</vt:lpwstr>
  </property>
</Properties>
</file>